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C5E2FBA" w:rsidR="0047408E" w:rsidRPr="00D46A4D" w:rsidRDefault="00090C4A"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bookmarkStart w:id="0" w:name="_GoBack"/>
      <w:bookmarkEnd w:id="0"/>
      <w:r>
        <w:rPr>
          <w:rFonts w:ascii="Times New Roman" w:hAnsi="Times New Roman"/>
          <w:bCs/>
          <w:sz w:val="24"/>
          <w:szCs w:val="24"/>
          <w:lang w:eastAsia="ja-JP"/>
        </w:rPr>
        <w:t>3GPP TSG-RAN WG2 Meeting #114</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0E7814" w:rsidRPr="000E7814">
        <w:rPr>
          <w:rFonts w:ascii="Times New Roman" w:hAnsi="Times New Roman"/>
          <w:bCs/>
          <w:sz w:val="24"/>
          <w:szCs w:val="24"/>
          <w:lang w:eastAsia="ja-JP"/>
        </w:rPr>
        <w:t>R2-2105671</w:t>
      </w:r>
    </w:p>
    <w:p w14:paraId="29CDF947" w14:textId="3926C6F7"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00090C4A">
        <w:rPr>
          <w:rFonts w:ascii="Times New Roman" w:hAnsi="Times New Roman"/>
          <w:bCs/>
          <w:sz w:val="24"/>
          <w:szCs w:val="24"/>
          <w:lang w:eastAsia="ja-JP"/>
        </w:rPr>
        <w:t>May 19</w:t>
      </w:r>
      <w:r w:rsidR="00FA48D2" w:rsidRPr="00FA48D2">
        <w:rPr>
          <w:rFonts w:ascii="Times New Roman" w:hAnsi="Times New Roman"/>
          <w:bCs/>
          <w:sz w:val="24"/>
          <w:szCs w:val="24"/>
          <w:lang w:eastAsia="ja-JP"/>
        </w:rPr>
        <w:t xml:space="preserve"> – </w:t>
      </w:r>
      <w:r w:rsidR="00090C4A">
        <w:rPr>
          <w:rFonts w:ascii="Times New Roman" w:hAnsi="Times New Roman"/>
          <w:bCs/>
          <w:sz w:val="24"/>
          <w:szCs w:val="24"/>
          <w:lang w:eastAsia="ja-JP"/>
        </w:rPr>
        <w:t>May 27</w:t>
      </w:r>
      <w:r w:rsidR="00FA48D2"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6F74209D"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121A6C" w:rsidRPr="00183BCE">
        <w:rPr>
          <w:rFonts w:ascii="Times New Roman" w:hAnsi="Times New Roman"/>
          <w:b/>
          <w:noProof/>
          <w:sz w:val="24"/>
        </w:rPr>
        <w:t>8.12</w:t>
      </w:r>
      <w:r w:rsidR="00183BCE" w:rsidRPr="00183BCE">
        <w:rPr>
          <w:rFonts w:ascii="Times New Roman" w:hAnsi="Times New Roman"/>
          <w:b/>
          <w:noProof/>
          <w:sz w:val="24"/>
        </w:rPr>
        <w:t>.3.1</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72F1D32F"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FC1E61">
        <w:rPr>
          <w:rFonts w:ascii="Times New Roman" w:hAnsi="Times New Roman"/>
          <w:b/>
          <w:noProof/>
          <w:sz w:val="24"/>
        </w:rPr>
        <w:t>Remaining issues</w:t>
      </w:r>
      <w:r w:rsidR="006823B1">
        <w:rPr>
          <w:rFonts w:ascii="Times New Roman" w:hAnsi="Times New Roman"/>
          <w:b/>
          <w:noProof/>
          <w:sz w:val="24"/>
        </w:rPr>
        <w:t xml:space="preserve"> </w:t>
      </w:r>
      <w:r w:rsidR="0052116F">
        <w:rPr>
          <w:rFonts w:ascii="Times New Roman" w:hAnsi="Times New Roman"/>
          <w:b/>
          <w:noProof/>
          <w:sz w:val="24"/>
        </w:rPr>
        <w:t>for eDRX</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4BBCDDE1" w14:textId="1F506FB1" w:rsidR="00A97BE5" w:rsidRPr="006E2309" w:rsidRDefault="0047408E" w:rsidP="006E2309">
      <w:pPr>
        <w:pStyle w:val="Heading1"/>
        <w:rPr>
          <w:rFonts w:ascii="Times New Roman" w:hAnsi="Times New Roman"/>
          <w:lang w:val="en-US" w:eastAsia="ko-KR"/>
        </w:rPr>
      </w:pPr>
      <w:r w:rsidRPr="00D46A4D">
        <w:rPr>
          <w:rFonts w:ascii="Times New Roman" w:hAnsi="Times New Roman"/>
          <w:lang w:val="en-US" w:eastAsia="ko-KR"/>
        </w:rPr>
        <w:t>1 Introduction</w:t>
      </w:r>
    </w:p>
    <w:p w14:paraId="55A7DD55" w14:textId="2C0A78BC" w:rsidR="00382B0D" w:rsidRDefault="006E2309" w:rsidP="00E86F99">
      <w:pPr>
        <w:overflowPunct/>
        <w:autoSpaceDE/>
        <w:autoSpaceDN/>
        <w:adjustRightInd/>
        <w:spacing w:after="160" w:line="259" w:lineRule="auto"/>
        <w:ind w:right="-99"/>
        <w:jc w:val="left"/>
        <w:textAlignment w:val="auto"/>
      </w:pPr>
      <w:r>
        <w:t xml:space="preserve">In RAN2#113bis-e meeting, various agreements have been reached regarding the </w:t>
      </w:r>
      <w:proofErr w:type="spellStart"/>
      <w:r>
        <w:t>eDRX</w:t>
      </w:r>
      <w:proofErr w:type="spellEnd"/>
      <w:r>
        <w:t xml:space="preserve"> operation for </w:t>
      </w:r>
      <w:proofErr w:type="spellStart"/>
      <w:r>
        <w:t>RedCap</w:t>
      </w:r>
      <w:proofErr w:type="spellEnd"/>
      <w:r w:rsidR="0031708C">
        <w:t xml:space="preserve"> </w:t>
      </w:r>
      <w:r w:rsidR="0031708C">
        <w:fldChar w:fldCharType="begin"/>
      </w:r>
      <w:r w:rsidR="0031708C">
        <w:instrText xml:space="preserve"> REF _Ref71031640 \r \h </w:instrText>
      </w:r>
      <w:r w:rsidR="0031708C">
        <w:fldChar w:fldCharType="separate"/>
      </w:r>
      <w:r w:rsidR="0031708C">
        <w:t>[1]</w:t>
      </w:r>
      <w:r w:rsidR="0031708C">
        <w:fldChar w:fldCharType="end"/>
      </w:r>
      <w:r>
        <w:t>:</w:t>
      </w:r>
    </w:p>
    <w:p w14:paraId="3B1F51FB" w14:textId="77777777" w:rsidR="006E2309" w:rsidRPr="003D539C" w:rsidRDefault="006E2309" w:rsidP="006E2309">
      <w:pPr>
        <w:pStyle w:val="Doc-text2"/>
        <w:ind w:left="1619" w:firstLine="0"/>
      </w:pPr>
    </w:p>
    <w:p w14:paraId="3B98DD94" w14:textId="77777777" w:rsidR="006E2309" w:rsidRPr="003D539C" w:rsidRDefault="006E2309" w:rsidP="006E2309">
      <w:pPr>
        <w:pStyle w:val="Doc-text2"/>
        <w:pBdr>
          <w:top w:val="single" w:sz="4" w:space="1" w:color="auto"/>
          <w:left w:val="single" w:sz="4" w:space="4" w:color="auto"/>
          <w:bottom w:val="single" w:sz="4" w:space="1" w:color="auto"/>
          <w:right w:val="single" w:sz="4" w:space="4" w:color="auto"/>
        </w:pBdr>
        <w:ind w:left="720" w:firstLine="0"/>
      </w:pPr>
      <w:r w:rsidRPr="003D539C">
        <w:t>Agreements:</w:t>
      </w:r>
    </w:p>
    <w:p w14:paraId="727956F9" w14:textId="77777777" w:rsidR="006E2309" w:rsidRPr="003D539C" w:rsidRDefault="006E2309" w:rsidP="006E230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r w:rsidRPr="003D539C">
        <w:t xml:space="preserve">RAN decides and configures </w:t>
      </w:r>
      <w:proofErr w:type="spellStart"/>
      <w:r w:rsidRPr="003D539C">
        <w:t>eDRX</w:t>
      </w:r>
      <w:proofErr w:type="spellEnd"/>
      <w:r w:rsidRPr="003D539C">
        <w:t xml:space="preserve"> via RRC for RRC_INACTIVE (FFS on the need and details of coordination with the CN)</w:t>
      </w:r>
    </w:p>
    <w:p w14:paraId="340A70FD" w14:textId="77777777" w:rsidR="006E2309" w:rsidRPr="003D539C" w:rsidRDefault="006E2309" w:rsidP="006E230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r w:rsidRPr="003D539C">
        <w:t xml:space="preserve">At least for </w:t>
      </w:r>
      <w:proofErr w:type="spellStart"/>
      <w:r w:rsidRPr="003D539C">
        <w:t>eDRX</w:t>
      </w:r>
      <w:proofErr w:type="spellEnd"/>
      <w:r w:rsidRPr="003D539C">
        <w:t xml:space="preserve"> cycle, the configurations of the </w:t>
      </w:r>
      <w:proofErr w:type="spellStart"/>
      <w:r w:rsidRPr="003D539C">
        <w:t>eDRX</w:t>
      </w:r>
      <w:proofErr w:type="spellEnd"/>
      <w:r w:rsidRPr="003D539C">
        <w:t xml:space="preserve"> for RRC_IDLE and RRC_INACTIVE can be different (FFS for PTW, e.g. length and starting point, when </w:t>
      </w:r>
      <w:proofErr w:type="spellStart"/>
      <w:r w:rsidRPr="003D539C">
        <w:t>eDRX</w:t>
      </w:r>
      <w:proofErr w:type="spellEnd"/>
      <w:r w:rsidRPr="003D539C">
        <w:t xml:space="preserve"> cycles are longer than 10.24s)</w:t>
      </w:r>
    </w:p>
    <w:p w14:paraId="553C91BC" w14:textId="77777777" w:rsidR="006E2309" w:rsidRDefault="006E2309" w:rsidP="006E2309">
      <w:pPr>
        <w:overflowPunct/>
        <w:autoSpaceDE/>
        <w:autoSpaceDN/>
        <w:adjustRightInd/>
        <w:spacing w:after="160" w:line="259" w:lineRule="auto"/>
        <w:ind w:right="-99"/>
        <w:jc w:val="left"/>
        <w:textAlignment w:val="auto"/>
      </w:pPr>
    </w:p>
    <w:p w14:paraId="665EC40C" w14:textId="77777777" w:rsidR="006E2309" w:rsidRPr="003D539C" w:rsidRDefault="006E2309" w:rsidP="006E2309">
      <w:pPr>
        <w:pStyle w:val="Doc-text2"/>
        <w:pBdr>
          <w:top w:val="single" w:sz="4" w:space="1" w:color="auto"/>
          <w:left w:val="single" w:sz="4" w:space="4" w:color="auto"/>
          <w:bottom w:val="single" w:sz="4" w:space="1" w:color="auto"/>
          <w:right w:val="single" w:sz="4" w:space="4" w:color="auto"/>
        </w:pBdr>
        <w:ind w:left="1083"/>
      </w:pPr>
      <w:r w:rsidRPr="003D539C">
        <w:t>Agreements - via email (from offline [101]):</w:t>
      </w:r>
    </w:p>
    <w:p w14:paraId="5C93FFE3" w14:textId="77777777" w:rsidR="006E2309" w:rsidRPr="003D539C" w:rsidRDefault="006E2309" w:rsidP="006E230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r w:rsidRPr="003D539C">
        <w:t xml:space="preserve">RAN2 assumes that CN provides necessary assistance information on </w:t>
      </w:r>
      <w:proofErr w:type="spellStart"/>
      <w:r w:rsidRPr="003D539C">
        <w:t>eDRX</w:t>
      </w:r>
      <w:proofErr w:type="spellEnd"/>
      <w:r w:rsidRPr="003D539C">
        <w:t xml:space="preserve"> </w:t>
      </w:r>
      <w:proofErr w:type="spellStart"/>
      <w:r w:rsidRPr="003D539C">
        <w:t>config</w:t>
      </w:r>
      <w:proofErr w:type="spellEnd"/>
      <w:r w:rsidRPr="003D539C">
        <w:t xml:space="preserve">. for RRC_IDLE to RAN (e.g. reusing </w:t>
      </w:r>
      <w:proofErr w:type="spellStart"/>
      <w:r w:rsidRPr="003D539C">
        <w:t>eDRX</w:t>
      </w:r>
      <w:proofErr w:type="spellEnd"/>
      <w:r w:rsidRPr="003D539C">
        <w:t xml:space="preserve"> </w:t>
      </w:r>
      <w:proofErr w:type="spellStart"/>
      <w:r w:rsidRPr="003D539C">
        <w:t>config</w:t>
      </w:r>
      <w:proofErr w:type="spellEnd"/>
      <w:r w:rsidRPr="003D539C">
        <w:t>. defined in “CN Assistance Information for RRC INACTIVE IE” for E-UTRA/5GC).</w:t>
      </w:r>
    </w:p>
    <w:p w14:paraId="34CC8726" w14:textId="77777777" w:rsidR="006E2309" w:rsidRPr="003D539C" w:rsidRDefault="006E2309" w:rsidP="006E230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proofErr w:type="spellStart"/>
      <w:r w:rsidRPr="003D539C">
        <w:t>eDRX</w:t>
      </w:r>
      <w:proofErr w:type="spellEnd"/>
      <w:r w:rsidRPr="003D539C">
        <w:t xml:space="preserve"> feature, including the related parameters (i.e. PH, PTW. H-SFN) and corresponding paging operation defined for E-UTRA/5GC is used as baseline to enable </w:t>
      </w:r>
      <w:proofErr w:type="spellStart"/>
      <w:r w:rsidRPr="003D539C">
        <w:t>eDRX</w:t>
      </w:r>
      <w:proofErr w:type="spellEnd"/>
      <w:r w:rsidRPr="003D539C">
        <w:t xml:space="preserve"> &gt;10.24sec for both RRC_IDLE and RRC_INACTIVE in NR/5GC</w:t>
      </w:r>
    </w:p>
    <w:p w14:paraId="256994EC" w14:textId="77777777" w:rsidR="006E2309" w:rsidRPr="003D539C" w:rsidRDefault="006E2309" w:rsidP="006E230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r w:rsidRPr="003D539C">
        <w:t>RAN2 confirms that CN paging and RAN paging use the same paging frame offset and first PDCCH monitoring occasion in PO, which are configured by RAN without involvement of CN.</w:t>
      </w:r>
    </w:p>
    <w:p w14:paraId="5E82EC96" w14:textId="77777777" w:rsidR="006E2309" w:rsidRPr="003D539C" w:rsidRDefault="006E2309" w:rsidP="006E230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ind w:left="1080"/>
        <w:textAlignment w:val="auto"/>
      </w:pPr>
      <w:r w:rsidRPr="003D539C">
        <w:t xml:space="preserve">RAN2 confirms that SI modification mechanism from LTE is used as a baseline for SI change (other than ETWS and CMAS), i.e. by using an </w:t>
      </w:r>
      <w:proofErr w:type="spellStart"/>
      <w:r w:rsidRPr="003D539C">
        <w:t>eDRX</w:t>
      </w:r>
      <w:proofErr w:type="spellEnd"/>
      <w:r w:rsidRPr="003D539C">
        <w:t xml:space="preserve"> acquisition period and a flag to indicate SI modification for </w:t>
      </w:r>
      <w:proofErr w:type="spellStart"/>
      <w:r w:rsidRPr="003D539C">
        <w:t>eDRX</w:t>
      </w:r>
      <w:proofErr w:type="spellEnd"/>
      <w:r w:rsidRPr="003D539C">
        <w:t xml:space="preserve"> in Short Message (e.g. </w:t>
      </w:r>
      <w:proofErr w:type="spellStart"/>
      <w:r w:rsidRPr="003D539C">
        <w:t>systemInfoModification-eDRX</w:t>
      </w:r>
      <w:proofErr w:type="spellEnd"/>
      <w:r w:rsidRPr="003D539C">
        <w:t>)</w:t>
      </w:r>
    </w:p>
    <w:p w14:paraId="23E2EC3C" w14:textId="77777777" w:rsidR="00382B0D" w:rsidRDefault="00382B0D" w:rsidP="00E86F99">
      <w:pPr>
        <w:overflowPunct/>
        <w:autoSpaceDE/>
        <w:autoSpaceDN/>
        <w:adjustRightInd/>
        <w:spacing w:after="160" w:line="259" w:lineRule="auto"/>
        <w:ind w:right="-99"/>
        <w:jc w:val="left"/>
        <w:textAlignment w:val="auto"/>
      </w:pPr>
    </w:p>
    <w:p w14:paraId="5C2C9B81" w14:textId="38C02DB5"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52116F">
        <w:t xml:space="preserve">some </w:t>
      </w:r>
      <w:r w:rsidR="00382B0D">
        <w:t>remaining issues</w:t>
      </w:r>
      <w:r w:rsidR="00B066F8">
        <w:t xml:space="preserve"> for </w:t>
      </w:r>
      <w:r w:rsidR="0031708C">
        <w:t>supporting</w:t>
      </w:r>
      <w:r w:rsidR="00A97BE5">
        <w:t xml:space="preserve"> </w:t>
      </w:r>
      <w:proofErr w:type="spellStart"/>
      <w:r w:rsidR="00B066F8">
        <w:t>eDRX</w:t>
      </w:r>
      <w:proofErr w:type="spellEnd"/>
      <w:r w:rsidR="00A97BE5">
        <w:t xml:space="preserve"> in </w:t>
      </w:r>
      <w:proofErr w:type="spellStart"/>
      <w:r w:rsidR="00A97BE5">
        <w:t>RedCap</w:t>
      </w:r>
      <w:proofErr w:type="spellEnd"/>
      <w:r w:rsidR="00A97BE5">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0EFBC238" w14:textId="0FA47214" w:rsidR="001F19D3" w:rsidRPr="000E3703" w:rsidRDefault="00121A6C" w:rsidP="001F19D3">
      <w:pPr>
        <w:pStyle w:val="Heading2"/>
        <w:rPr>
          <w:rFonts w:ascii="Times New Roman" w:hAnsi="Times New Roman"/>
        </w:rPr>
      </w:pPr>
      <w:r>
        <w:rPr>
          <w:rFonts w:ascii="Times New Roman" w:hAnsi="Times New Roman"/>
        </w:rPr>
        <w:t>2.1</w:t>
      </w:r>
      <w:r w:rsidR="001F19D3" w:rsidRPr="000E3703">
        <w:rPr>
          <w:rFonts w:ascii="Times New Roman" w:hAnsi="Times New Roman"/>
        </w:rPr>
        <w:t xml:space="preserve"> </w:t>
      </w:r>
      <w:r w:rsidR="00590556">
        <w:rPr>
          <w:rFonts w:ascii="Times New Roman" w:hAnsi="Times New Roman"/>
        </w:rPr>
        <w:t>PH/PTW</w:t>
      </w:r>
      <w:r w:rsidR="00DD1119">
        <w:rPr>
          <w:rFonts w:ascii="Times New Roman" w:hAnsi="Times New Roman"/>
        </w:rPr>
        <w:t xml:space="preserve"> calculations</w:t>
      </w:r>
      <w:r w:rsidR="000A79DF">
        <w:rPr>
          <w:rFonts w:ascii="Times New Roman" w:hAnsi="Times New Roman"/>
        </w:rPr>
        <w:t xml:space="preserve"> for </w:t>
      </w:r>
      <w:proofErr w:type="spellStart"/>
      <w:r w:rsidR="000A79DF">
        <w:rPr>
          <w:rFonts w:ascii="Times New Roman" w:hAnsi="Times New Roman"/>
        </w:rPr>
        <w:t>eDRX</w:t>
      </w:r>
      <w:proofErr w:type="spellEnd"/>
    </w:p>
    <w:p w14:paraId="656E4CA6" w14:textId="0581444B" w:rsidR="00DD1119" w:rsidRDefault="00DD1119" w:rsidP="000A79DF">
      <w:r>
        <w:t xml:space="preserve">It was agreed during the </w:t>
      </w:r>
      <w:proofErr w:type="spellStart"/>
      <w:r>
        <w:t>RedCap</w:t>
      </w:r>
      <w:proofErr w:type="spellEnd"/>
      <w:r>
        <w:t xml:space="preserve"> study item that, if the </w:t>
      </w:r>
      <w:proofErr w:type="spellStart"/>
      <w:r>
        <w:t>eDRX</w:t>
      </w:r>
      <w:proofErr w:type="spellEnd"/>
      <w:r>
        <w:t xml:space="preserve"> cycle is larger than 10.24 s, the </w:t>
      </w:r>
      <w:proofErr w:type="spellStart"/>
      <w:r>
        <w:t>eDRX</w:t>
      </w:r>
      <w:proofErr w:type="spellEnd"/>
      <w:r>
        <w:t xml:space="preserve"> mechanism will include the use of H-SFN, PH and PTW, similar to LTE</w:t>
      </w:r>
      <w:r w:rsidR="0031708C">
        <w:t xml:space="preserve"> </w:t>
      </w:r>
      <w:r w:rsidR="0031708C">
        <w:fldChar w:fldCharType="begin"/>
      </w:r>
      <w:r w:rsidR="0031708C">
        <w:instrText xml:space="preserve"> REF _Ref71031652 \r \h </w:instrText>
      </w:r>
      <w:r w:rsidR="0031708C">
        <w:fldChar w:fldCharType="separate"/>
      </w:r>
      <w:r w:rsidR="0031708C">
        <w:t>[2]</w:t>
      </w:r>
      <w:r w:rsidR="0031708C">
        <w:fldChar w:fldCharType="end"/>
      </w:r>
      <w:r>
        <w:t>.</w:t>
      </w:r>
    </w:p>
    <w:p w14:paraId="72F62793" w14:textId="672600B9" w:rsidR="00EF5C51" w:rsidRDefault="000E3703" w:rsidP="000A79DF">
      <w:r>
        <w:t>In LTE</w:t>
      </w:r>
      <w:r w:rsidR="0095321D">
        <w:t xml:space="preserve"> and NB-</w:t>
      </w:r>
      <w:proofErr w:type="spellStart"/>
      <w:r w:rsidR="0095321D">
        <w:t>IoT</w:t>
      </w:r>
      <w:proofErr w:type="spellEnd"/>
      <w:r>
        <w:t xml:space="preserve">, </w:t>
      </w:r>
      <w:r w:rsidR="00845475">
        <w:t>t</w:t>
      </w:r>
      <w:r w:rsidR="00845475" w:rsidRPr="005C2BB7">
        <w:t xml:space="preserve">he </w:t>
      </w:r>
      <w:r w:rsidR="00845475">
        <w:t>paging hyper</w:t>
      </w:r>
      <w:r w:rsidR="00C710C5">
        <w:t>-</w:t>
      </w:r>
      <w:r w:rsidR="00845475">
        <w:t>frame (</w:t>
      </w:r>
      <w:r w:rsidR="00845475" w:rsidRPr="00440738">
        <w:t>PH</w:t>
      </w:r>
      <w:r w:rsidR="00845475">
        <w:t xml:space="preserve">) </w:t>
      </w:r>
      <w:r w:rsidR="00845475" w:rsidRPr="005C2BB7">
        <w:t>is the H-SFN satisfying the following equation</w:t>
      </w:r>
      <w:r w:rsidR="0031708C">
        <w:t xml:space="preserve"> </w:t>
      </w:r>
      <w:r w:rsidR="0031708C">
        <w:fldChar w:fldCharType="begin"/>
      </w:r>
      <w:r w:rsidR="0031708C">
        <w:instrText xml:space="preserve"> REF _Ref71031660 \r \h </w:instrText>
      </w:r>
      <w:r w:rsidR="0031708C">
        <w:fldChar w:fldCharType="separate"/>
      </w:r>
      <w:r w:rsidR="0031708C">
        <w:t>[3]</w:t>
      </w:r>
      <w:r w:rsidR="0031708C">
        <w:fldChar w:fldCharType="end"/>
      </w:r>
      <w:r w:rsidR="00845475" w:rsidRPr="005C2BB7">
        <w:t>:</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EF5C51" w14:paraId="3752E1FB" w14:textId="77777777" w:rsidTr="000A79DF">
        <w:trPr>
          <w:trHeight w:val="368"/>
        </w:trPr>
        <w:tc>
          <w:tcPr>
            <w:tcW w:w="6914" w:type="dxa"/>
          </w:tcPr>
          <w:p w14:paraId="0EA1EE50" w14:textId="5EAB6B2A" w:rsidR="00EF5C51" w:rsidRDefault="00EF5C51" w:rsidP="007D4E0F">
            <w:pPr>
              <w:pStyle w:val="B2"/>
              <w:tabs>
                <w:tab w:val="left" w:pos="-108"/>
              </w:tabs>
              <w:ind w:left="-108" w:firstLine="0"/>
            </w:pPr>
            <w:r w:rsidRPr="00704719">
              <w:rPr>
                <w:i/>
              </w:rPr>
              <w:t xml:space="preserve">H-SFN mod </w:t>
            </w:r>
            <w:proofErr w:type="spellStart"/>
            <w:r w:rsidRPr="00704719">
              <w:rPr>
                <w:i/>
              </w:rPr>
              <w:t>T</w:t>
            </w:r>
            <w:r w:rsidRPr="00704719">
              <w:rPr>
                <w:i/>
                <w:vertAlign w:val="subscript"/>
              </w:rPr>
              <w:t>eDRX,H</w:t>
            </w:r>
            <w:proofErr w:type="spellEnd"/>
            <w:r w:rsidRPr="00704719">
              <w:rPr>
                <w:i/>
              </w:rPr>
              <w:t>= (UE_ID</w:t>
            </w:r>
            <w:r w:rsidRPr="00704719">
              <w:rPr>
                <w:i/>
                <w:lang w:eastAsia="ja-JP"/>
              </w:rPr>
              <w:t>_H</w:t>
            </w:r>
            <w:r w:rsidRPr="00704719">
              <w:rPr>
                <w:i/>
              </w:rPr>
              <w:t xml:space="preserve"> mod </w:t>
            </w:r>
            <w:proofErr w:type="spellStart"/>
            <w:r w:rsidRPr="00704719">
              <w:rPr>
                <w:i/>
              </w:rPr>
              <w:t>T</w:t>
            </w:r>
            <w:r w:rsidRPr="00704719">
              <w:rPr>
                <w:i/>
                <w:vertAlign w:val="subscript"/>
              </w:rPr>
              <w:t>eDRX,H</w:t>
            </w:r>
            <w:proofErr w:type="spellEnd"/>
            <w:r w:rsidRPr="00704719">
              <w:rPr>
                <w:i/>
              </w:rPr>
              <w:t>)</w:t>
            </w:r>
            <w:r w:rsidRPr="005C2BB7">
              <w:t>, where</w:t>
            </w:r>
          </w:p>
        </w:tc>
        <w:tc>
          <w:tcPr>
            <w:tcW w:w="2838" w:type="dxa"/>
          </w:tcPr>
          <w:p w14:paraId="75401AD9" w14:textId="575748E5" w:rsidR="00EF5C51" w:rsidRPr="007D4E0F" w:rsidRDefault="00510DDE" w:rsidP="00704719">
            <w:pPr>
              <w:pStyle w:val="Caption"/>
              <w:spacing w:before="0"/>
              <w:rPr>
                <w:i/>
              </w:rPr>
            </w:pPr>
            <w:bookmarkStart w:id="3" w:name="_Ref54016306"/>
            <w:proofErr w:type="spellStart"/>
            <w:r w:rsidRPr="007D4E0F">
              <w:rPr>
                <w:b w:val="0"/>
                <w:i/>
              </w:rPr>
              <w:t>Eq</w:t>
            </w:r>
            <w:proofErr w:type="spellEnd"/>
            <w:r w:rsidRPr="007D4E0F">
              <w:rPr>
                <w:b w:val="0"/>
                <w:i/>
              </w:rPr>
              <w:t xml:space="preserve"> </w:t>
            </w:r>
            <w:r w:rsidRPr="007D4E0F">
              <w:rPr>
                <w:b w:val="0"/>
                <w:i/>
              </w:rPr>
              <w:fldChar w:fldCharType="begin"/>
            </w:r>
            <w:r w:rsidRPr="007D4E0F">
              <w:rPr>
                <w:b w:val="0"/>
                <w:i/>
              </w:rPr>
              <w:instrText xml:space="preserve"> SEQ Eq \* ARABIC </w:instrText>
            </w:r>
            <w:r w:rsidRPr="007D4E0F">
              <w:rPr>
                <w:b w:val="0"/>
                <w:i/>
              </w:rPr>
              <w:fldChar w:fldCharType="separate"/>
            </w:r>
            <w:r w:rsidR="0031708C">
              <w:rPr>
                <w:b w:val="0"/>
                <w:i/>
                <w:noProof/>
              </w:rPr>
              <w:t>1</w:t>
            </w:r>
            <w:r w:rsidRPr="007D4E0F">
              <w:rPr>
                <w:b w:val="0"/>
                <w:i/>
              </w:rPr>
              <w:fldChar w:fldCharType="end"/>
            </w:r>
            <w:bookmarkEnd w:id="3"/>
          </w:p>
        </w:tc>
      </w:tr>
    </w:tbl>
    <w:p w14:paraId="58CE6574" w14:textId="77777777" w:rsidR="00845475" w:rsidRPr="005C2BB7" w:rsidRDefault="00845475" w:rsidP="000A79DF">
      <w:pPr>
        <w:pStyle w:val="B2"/>
        <w:tabs>
          <w:tab w:val="left" w:pos="900"/>
        </w:tabs>
        <w:ind w:left="824"/>
        <w:rPr>
          <w:lang w:eastAsia="ja-JP"/>
        </w:rPr>
      </w:pPr>
      <w:r w:rsidRPr="005C2BB7">
        <w:t>-</w:t>
      </w:r>
      <w:r w:rsidRPr="005C2BB7">
        <w:tab/>
        <w:t>UE_ID</w:t>
      </w:r>
      <w:r w:rsidRPr="005C2BB7">
        <w:rPr>
          <w:lang w:eastAsia="ja-JP"/>
        </w:rPr>
        <w:t>_H</w:t>
      </w:r>
      <w:r w:rsidRPr="005C2BB7">
        <w:t>:</w:t>
      </w:r>
    </w:p>
    <w:p w14:paraId="011701E4" w14:textId="77777777" w:rsidR="00845475" w:rsidRPr="005C2BB7" w:rsidRDefault="00845475" w:rsidP="000A79DF">
      <w:pPr>
        <w:pStyle w:val="B3"/>
        <w:ind w:left="1108"/>
        <w:rPr>
          <w:lang w:eastAsia="ja-JP"/>
        </w:rPr>
      </w:pPr>
      <w:r w:rsidRPr="005C2BB7">
        <w:rPr>
          <w:lang w:eastAsia="ja-JP"/>
        </w:rPr>
        <w:t>- 10 most significant bits of the Hashed ID, if P-RNTI is monitored on PDCCH or MPDCCH</w:t>
      </w:r>
    </w:p>
    <w:p w14:paraId="6AB026C5" w14:textId="77777777" w:rsidR="00845475" w:rsidRPr="005C2BB7" w:rsidRDefault="00845475" w:rsidP="000A79DF">
      <w:pPr>
        <w:pStyle w:val="B3"/>
        <w:ind w:left="1108"/>
      </w:pPr>
      <w:r w:rsidRPr="005C2BB7">
        <w:rPr>
          <w:lang w:eastAsia="ja-JP"/>
        </w:rPr>
        <w:t>- 12 most significant bits of the Hashed ID, if P-RNTI is monitored on NPDCCH</w:t>
      </w:r>
    </w:p>
    <w:p w14:paraId="1875DB1D" w14:textId="6279EBC7" w:rsidR="00845475" w:rsidRDefault="00845475" w:rsidP="000A79DF">
      <w:pPr>
        <w:pStyle w:val="B2"/>
        <w:tabs>
          <w:tab w:val="left" w:pos="900"/>
        </w:tabs>
        <w:ind w:left="824"/>
      </w:pPr>
      <w:r w:rsidRPr="005C2BB7">
        <w:t>-</w:t>
      </w:r>
      <w:r w:rsidRPr="005C2BB7">
        <w:tab/>
        <w:t>T</w:t>
      </w:r>
      <w:r w:rsidRPr="005C2BB7">
        <w:rPr>
          <w:vertAlign w:val="subscript"/>
        </w:rPr>
        <w:t xml:space="preserve"> </w:t>
      </w:r>
      <w:proofErr w:type="spellStart"/>
      <w:r w:rsidRPr="005C2BB7">
        <w:rPr>
          <w:vertAlign w:val="subscript"/>
        </w:rPr>
        <w:t>eDRX</w:t>
      </w:r>
      <w:proofErr w:type="gramStart"/>
      <w:r w:rsidRPr="005C2BB7">
        <w:rPr>
          <w:vertAlign w:val="subscript"/>
        </w:rPr>
        <w:t>,H</w:t>
      </w:r>
      <w:proofErr w:type="spellEnd"/>
      <w:proofErr w:type="gramEnd"/>
      <w:r w:rsidRPr="005C2BB7">
        <w:t xml:space="preserve"> : </w:t>
      </w:r>
      <w:proofErr w:type="spellStart"/>
      <w:r w:rsidRPr="005C2BB7">
        <w:t>eDRX</w:t>
      </w:r>
      <w:proofErr w:type="spellEnd"/>
      <w:r w:rsidRPr="005C2BB7">
        <w:t xml:space="preserve"> cycle of the UE in Hyper-frames, (</w:t>
      </w:r>
      <w:proofErr w:type="spellStart"/>
      <w:r w:rsidRPr="005C2BB7">
        <w:t>T</w:t>
      </w:r>
      <w:r w:rsidRPr="005C2BB7">
        <w:rPr>
          <w:vertAlign w:val="subscript"/>
        </w:rPr>
        <w:t>eDRX,H</w:t>
      </w:r>
      <w:proofErr w:type="spellEnd"/>
      <w:r w:rsidRPr="005C2BB7">
        <w:t xml:space="preserve"> =1, 2, …, 256 Hyper-frames) (for NB-</w:t>
      </w:r>
      <w:proofErr w:type="spellStart"/>
      <w:r w:rsidRPr="005C2BB7">
        <w:t>IoT</w:t>
      </w:r>
      <w:proofErr w:type="spellEnd"/>
      <w:r w:rsidRPr="005C2BB7">
        <w:t xml:space="preserve">, </w:t>
      </w:r>
      <w:proofErr w:type="spellStart"/>
      <w:r w:rsidRPr="005C2BB7">
        <w:t>T</w:t>
      </w:r>
      <w:r w:rsidRPr="005C2BB7">
        <w:rPr>
          <w:vertAlign w:val="subscript"/>
        </w:rPr>
        <w:t>eDRX,H</w:t>
      </w:r>
      <w:proofErr w:type="spellEnd"/>
      <w:r w:rsidRPr="005C2BB7">
        <w:t xml:space="preserve"> =2, …, 1024 Hyper-frames) and configured by upper layers.</w:t>
      </w:r>
    </w:p>
    <w:p w14:paraId="41A0F9D2" w14:textId="093F750B" w:rsidR="000E3703" w:rsidRDefault="000E3703" w:rsidP="000A79DF">
      <w:proofErr w:type="spellStart"/>
      <w:r>
        <w:t>PTW_start</w:t>
      </w:r>
      <w:proofErr w:type="spellEnd"/>
      <w:r>
        <w:t xml:space="preserve">, the first </w:t>
      </w:r>
      <w:r w:rsidRPr="00440738">
        <w:t>radio frame of the PH that is part of the PTW</w:t>
      </w:r>
      <w:r>
        <w:t xml:space="preserve">, </w:t>
      </w:r>
      <w:r w:rsidR="00845475">
        <w:t>has SFN satisfying</w:t>
      </w:r>
      <w:r>
        <w:t xml:space="preserve">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26BF72D3" w14:textId="77777777" w:rsidTr="000A79DF">
        <w:trPr>
          <w:trHeight w:val="415"/>
        </w:trPr>
        <w:tc>
          <w:tcPr>
            <w:tcW w:w="6914" w:type="dxa"/>
          </w:tcPr>
          <w:p w14:paraId="4130D612" w14:textId="172F8C59" w:rsidR="00510DDE" w:rsidRDefault="00510DDE" w:rsidP="007D4E0F">
            <w:pPr>
              <w:pStyle w:val="B2"/>
              <w:tabs>
                <w:tab w:val="left" w:pos="-103"/>
              </w:tabs>
              <w:ind w:left="0" w:hanging="103"/>
            </w:pPr>
            <w:r w:rsidRPr="00704719">
              <w:rPr>
                <w:i/>
              </w:rPr>
              <w:t xml:space="preserve">SFN = 256* </w:t>
            </w:r>
            <w:proofErr w:type="spellStart"/>
            <w:r w:rsidRPr="00704719">
              <w:rPr>
                <w:i/>
              </w:rPr>
              <w:t>i</w:t>
            </w:r>
            <w:r w:rsidRPr="00704719">
              <w:rPr>
                <w:i/>
                <w:vertAlign w:val="subscript"/>
              </w:rPr>
              <w:t>eDRX</w:t>
            </w:r>
            <w:proofErr w:type="spellEnd"/>
            <w:r w:rsidRPr="00704719">
              <w:rPr>
                <w:i/>
              </w:rPr>
              <w:t xml:space="preserve">, </w:t>
            </w:r>
            <w:r w:rsidRPr="00510DDE">
              <w:t>where</w:t>
            </w:r>
          </w:p>
        </w:tc>
        <w:tc>
          <w:tcPr>
            <w:tcW w:w="2838" w:type="dxa"/>
          </w:tcPr>
          <w:p w14:paraId="0991503A" w14:textId="77777777" w:rsidR="00510DDE" w:rsidRPr="007D4E0F" w:rsidRDefault="00510DDE" w:rsidP="007D4E0F">
            <w:pPr>
              <w:pStyle w:val="Caption"/>
              <w:keepNext/>
              <w:spacing w:before="0"/>
              <w:jc w:val="left"/>
              <w:rPr>
                <w:b w:val="0"/>
                <w:i/>
              </w:rPr>
            </w:pPr>
            <w:bookmarkStart w:id="4" w:name="_Ref54017162"/>
            <w:proofErr w:type="spellStart"/>
            <w:r w:rsidRPr="007D4E0F">
              <w:rPr>
                <w:b w:val="0"/>
                <w:i/>
              </w:rPr>
              <w:t>Eq</w:t>
            </w:r>
            <w:proofErr w:type="spellEnd"/>
            <w:r w:rsidRPr="007D4E0F">
              <w:rPr>
                <w:b w:val="0"/>
                <w:i/>
              </w:rPr>
              <w:t xml:space="preserve"> </w:t>
            </w:r>
            <w:r w:rsidRPr="007D4E0F">
              <w:rPr>
                <w:b w:val="0"/>
                <w:i/>
              </w:rPr>
              <w:fldChar w:fldCharType="begin"/>
            </w:r>
            <w:r w:rsidRPr="007D4E0F">
              <w:rPr>
                <w:b w:val="0"/>
                <w:i/>
              </w:rPr>
              <w:instrText xml:space="preserve"> SEQ Eq \* ARABIC </w:instrText>
            </w:r>
            <w:r w:rsidRPr="007D4E0F">
              <w:rPr>
                <w:b w:val="0"/>
                <w:i/>
              </w:rPr>
              <w:fldChar w:fldCharType="separate"/>
            </w:r>
            <w:r w:rsidR="0031708C">
              <w:rPr>
                <w:b w:val="0"/>
                <w:i/>
                <w:noProof/>
              </w:rPr>
              <w:t>2</w:t>
            </w:r>
            <w:r w:rsidRPr="007D4E0F">
              <w:rPr>
                <w:b w:val="0"/>
                <w:i/>
              </w:rPr>
              <w:fldChar w:fldCharType="end"/>
            </w:r>
            <w:bookmarkEnd w:id="4"/>
          </w:p>
        </w:tc>
      </w:tr>
    </w:tbl>
    <w:p w14:paraId="31FDCC47" w14:textId="77777777" w:rsidR="000E3703" w:rsidRPr="005C2BB7" w:rsidRDefault="000E3703" w:rsidP="000A79DF">
      <w:pPr>
        <w:pStyle w:val="B2"/>
        <w:tabs>
          <w:tab w:val="left" w:pos="900"/>
        </w:tabs>
        <w:ind w:left="824"/>
      </w:pPr>
      <w:r w:rsidRPr="005C2BB7">
        <w:t>-</w:t>
      </w:r>
      <w:r w:rsidRPr="005C2BB7">
        <w:tab/>
      </w:r>
      <w:proofErr w:type="spellStart"/>
      <w:proofErr w:type="gramStart"/>
      <w:r w:rsidRPr="005C2BB7">
        <w:t>i</w:t>
      </w:r>
      <w:r w:rsidRPr="005C2BB7">
        <w:rPr>
          <w:vertAlign w:val="subscript"/>
        </w:rPr>
        <w:t>eDRX</w:t>
      </w:r>
      <w:proofErr w:type="spellEnd"/>
      <w:proofErr w:type="gramEnd"/>
      <w:r w:rsidRPr="005C2BB7">
        <w:t xml:space="preserve"> = floor(UE_ID</w:t>
      </w:r>
      <w:r w:rsidRPr="005C2BB7">
        <w:rPr>
          <w:lang w:eastAsia="ja-JP"/>
        </w:rPr>
        <w:t>_H</w:t>
      </w:r>
      <w:r w:rsidRPr="005C2BB7">
        <w:t xml:space="preserve"> /</w:t>
      </w:r>
      <w:proofErr w:type="spellStart"/>
      <w:r w:rsidRPr="005C2BB7">
        <w:t>T</w:t>
      </w:r>
      <w:r w:rsidRPr="005C2BB7">
        <w:rPr>
          <w:vertAlign w:val="subscript"/>
        </w:rPr>
        <w:t>eDRX,H</w:t>
      </w:r>
      <w:proofErr w:type="spellEnd"/>
      <w:r w:rsidRPr="005C2BB7">
        <w:t>) mod 4</w:t>
      </w:r>
    </w:p>
    <w:p w14:paraId="709289D2" w14:textId="1D426080" w:rsidR="000E3703" w:rsidRPr="005C2BB7" w:rsidRDefault="000E3703" w:rsidP="000A79DF">
      <w:proofErr w:type="spellStart"/>
      <w:r w:rsidRPr="005C2BB7">
        <w:t>PT</w:t>
      </w:r>
      <w:r>
        <w:t>W_end</w:t>
      </w:r>
      <w:proofErr w:type="spellEnd"/>
      <w:r>
        <w:t xml:space="preserve">, </w:t>
      </w:r>
      <w:r w:rsidRPr="005C2BB7">
        <w:t>the last radio frame of the PTW</w:t>
      </w:r>
      <w:r>
        <w:t>,</w:t>
      </w:r>
      <w:r w:rsidRPr="005C2BB7">
        <w:t xml:space="preserve"> </w:t>
      </w:r>
      <w:r w:rsidR="00845475">
        <w:t>has SFN satisfying</w:t>
      </w:r>
      <w:r w:rsidRPr="005C2BB7">
        <w:t xml:space="preserve">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4DC361D9" w14:textId="77777777" w:rsidTr="000A79DF">
        <w:trPr>
          <w:trHeight w:val="415"/>
        </w:trPr>
        <w:tc>
          <w:tcPr>
            <w:tcW w:w="6914" w:type="dxa"/>
          </w:tcPr>
          <w:p w14:paraId="31820CA2" w14:textId="0856FDB1" w:rsidR="00510DDE" w:rsidRDefault="00510DDE" w:rsidP="007D4E0F">
            <w:pPr>
              <w:pStyle w:val="B2"/>
              <w:tabs>
                <w:tab w:val="left" w:pos="-108"/>
              </w:tabs>
              <w:ind w:left="-108" w:firstLine="0"/>
            </w:pPr>
            <w:r w:rsidRPr="00704719">
              <w:rPr>
                <w:i/>
              </w:rPr>
              <w:lastRenderedPageBreak/>
              <w:t>SFN = (</w:t>
            </w:r>
            <w:proofErr w:type="spellStart"/>
            <w:r w:rsidRPr="00704719">
              <w:rPr>
                <w:i/>
              </w:rPr>
              <w:t>PTW_start</w:t>
            </w:r>
            <w:proofErr w:type="spellEnd"/>
            <w:r w:rsidRPr="00704719">
              <w:rPr>
                <w:i/>
              </w:rPr>
              <w:t xml:space="preserve"> + L*100 - 1) mod 1024, </w:t>
            </w:r>
            <w:r w:rsidRPr="00510DDE">
              <w:t>where</w:t>
            </w:r>
          </w:p>
        </w:tc>
        <w:tc>
          <w:tcPr>
            <w:tcW w:w="2838" w:type="dxa"/>
          </w:tcPr>
          <w:p w14:paraId="652B6B61" w14:textId="77777777" w:rsidR="00510DDE" w:rsidRPr="00643C42" w:rsidRDefault="00510DDE" w:rsidP="006A7271">
            <w:pPr>
              <w:pStyle w:val="Caption"/>
              <w:keepNext/>
              <w:spacing w:before="0"/>
              <w:jc w:val="left"/>
              <w:rPr>
                <w:b w:val="0"/>
                <w:i/>
              </w:rPr>
            </w:pPr>
            <w:bookmarkStart w:id="5" w:name="_Ref54017164"/>
            <w:proofErr w:type="spellStart"/>
            <w:r w:rsidRPr="00643C42">
              <w:rPr>
                <w:b w:val="0"/>
                <w:i/>
              </w:rPr>
              <w:t>Eq</w:t>
            </w:r>
            <w:proofErr w:type="spellEnd"/>
            <w:r w:rsidRPr="00643C42">
              <w:rPr>
                <w:b w:val="0"/>
                <w:i/>
              </w:rPr>
              <w:t xml:space="preserve"> </w:t>
            </w:r>
            <w:r w:rsidRPr="00643C42">
              <w:rPr>
                <w:b w:val="0"/>
                <w:i/>
              </w:rPr>
              <w:fldChar w:fldCharType="begin"/>
            </w:r>
            <w:r w:rsidRPr="00643C42">
              <w:rPr>
                <w:b w:val="0"/>
                <w:i/>
              </w:rPr>
              <w:instrText xml:space="preserve"> SEQ Eq \* ARABIC </w:instrText>
            </w:r>
            <w:r w:rsidRPr="00643C42">
              <w:rPr>
                <w:b w:val="0"/>
                <w:i/>
              </w:rPr>
              <w:fldChar w:fldCharType="separate"/>
            </w:r>
            <w:r w:rsidR="0031708C">
              <w:rPr>
                <w:b w:val="0"/>
                <w:i/>
                <w:noProof/>
              </w:rPr>
              <w:t>3</w:t>
            </w:r>
            <w:r w:rsidRPr="00643C42">
              <w:rPr>
                <w:b w:val="0"/>
                <w:i/>
              </w:rPr>
              <w:fldChar w:fldCharType="end"/>
            </w:r>
            <w:bookmarkEnd w:id="5"/>
          </w:p>
        </w:tc>
      </w:tr>
    </w:tbl>
    <w:p w14:paraId="5A308036" w14:textId="77777777" w:rsidR="000E3703" w:rsidRDefault="000E3703" w:rsidP="000A79DF">
      <w:pPr>
        <w:pStyle w:val="B2"/>
        <w:tabs>
          <w:tab w:val="left" w:pos="900"/>
        </w:tabs>
        <w:ind w:left="824"/>
      </w:pPr>
      <w:r w:rsidRPr="005C2BB7">
        <w:t>-</w:t>
      </w:r>
      <w:r w:rsidRPr="005C2BB7">
        <w:tab/>
        <w:t>L = Paging Time Window length (in seconds) configured by upper layers</w:t>
      </w:r>
    </w:p>
    <w:p w14:paraId="1DE23E9D" w14:textId="28303027" w:rsidR="00763CB5" w:rsidRDefault="00B46D3A" w:rsidP="0052116F">
      <w:r>
        <w:t xml:space="preserve">It can be observed from the formulas that, from the network point of view, an </w:t>
      </w:r>
      <w:proofErr w:type="spellStart"/>
      <w:r>
        <w:t>eDRX</w:t>
      </w:r>
      <w:proofErr w:type="spellEnd"/>
      <w:r>
        <w:t xml:space="preserve"> cycle consists of a number of PTWs offset from each other by 256 SFNs. The UEs are then distributed uniformly between the PTWs. However</w:t>
      </w:r>
      <w:r w:rsidR="00A97BE5">
        <w:t xml:space="preserve"> note that</w:t>
      </w:r>
      <w:r>
        <w:t xml:space="preserve"> this is based on the assumption that the same </w:t>
      </w:r>
      <w:proofErr w:type="spellStart"/>
      <w:r>
        <w:t>eDRX</w:t>
      </w:r>
      <w:proofErr w:type="spellEnd"/>
      <w:r>
        <w:t xml:space="preserve"> configuration is applied to all UEs. In reality, there can be differences between the </w:t>
      </w:r>
      <w:proofErr w:type="spellStart"/>
      <w:r>
        <w:t>eDRX</w:t>
      </w:r>
      <w:proofErr w:type="spellEnd"/>
      <w:r>
        <w:t xml:space="preserve"> configurations of the UEs, which means a completely uniform distribution of UEs may not always be achieved.</w:t>
      </w:r>
    </w:p>
    <w:p w14:paraId="5916DEFE" w14:textId="78B58B81" w:rsidR="00763CB5" w:rsidRDefault="00763CB5" w:rsidP="0052116F">
      <w:r>
        <w:t xml:space="preserve">An example </w:t>
      </w:r>
      <w:r w:rsidR="00852E51">
        <w:t>configuration</w:t>
      </w:r>
      <w:r>
        <w:t xml:space="preserve"> with </w:t>
      </w:r>
      <w:proofErr w:type="spellStart"/>
      <w:r>
        <w:t>T</w:t>
      </w:r>
      <w:r w:rsidRPr="00DD1119">
        <w:rPr>
          <w:vertAlign w:val="subscript"/>
        </w:rPr>
        <w:t>eDRX</w:t>
      </w:r>
      <w:proofErr w:type="spellEnd"/>
      <w:r>
        <w:t>=20.48</w:t>
      </w:r>
      <w:r w:rsidR="00E9253A">
        <w:t xml:space="preserve"> </w:t>
      </w:r>
      <w:r>
        <w:t>s and L=5.12</w:t>
      </w:r>
      <w:r w:rsidR="00E9253A">
        <w:t xml:space="preserve"> </w:t>
      </w:r>
      <w:r>
        <w:t xml:space="preserve">s can be illustrated </w:t>
      </w:r>
      <w:r w:rsidR="00DD1119">
        <w:t xml:space="preserve">in </w:t>
      </w:r>
      <w:r w:rsidR="00DD1119">
        <w:fldChar w:fldCharType="begin"/>
      </w:r>
      <w:r w:rsidR="00DD1119">
        <w:instrText xml:space="preserve"> REF _Ref68008648 \h </w:instrText>
      </w:r>
      <w:r w:rsidR="00DD1119">
        <w:fldChar w:fldCharType="separate"/>
      </w:r>
      <w:r w:rsidR="0031708C">
        <w:t xml:space="preserve">Figure </w:t>
      </w:r>
      <w:r w:rsidR="0031708C">
        <w:rPr>
          <w:noProof/>
        </w:rPr>
        <w:t>1</w:t>
      </w:r>
      <w:r w:rsidR="00DD1119">
        <w:fldChar w:fldCharType="end"/>
      </w:r>
      <w:r w:rsidR="00DD1119">
        <w:t xml:space="preserve"> </w:t>
      </w:r>
      <w:r>
        <w:t>below.</w:t>
      </w:r>
    </w:p>
    <w:p w14:paraId="5F3E487E" w14:textId="77777777" w:rsidR="00DD1119" w:rsidRDefault="00E9253A" w:rsidP="00DD1119">
      <w:pPr>
        <w:keepNext/>
        <w:jc w:val="center"/>
      </w:pPr>
      <w:r w:rsidRPr="00E9253A">
        <w:rPr>
          <w:noProof/>
          <w:lang w:eastAsia="en-GB"/>
        </w:rPr>
        <w:drawing>
          <wp:inline distT="0" distB="0" distL="0" distR="0" wp14:anchorId="18EAB14F" wp14:editId="68322A88">
            <wp:extent cx="6645910" cy="17073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1707350"/>
                    </a:xfrm>
                    <a:prstGeom prst="rect">
                      <a:avLst/>
                    </a:prstGeom>
                    <a:noFill/>
                    <a:ln>
                      <a:noFill/>
                    </a:ln>
                  </pic:spPr>
                </pic:pic>
              </a:graphicData>
            </a:graphic>
          </wp:inline>
        </w:drawing>
      </w:r>
    </w:p>
    <w:p w14:paraId="5D8A2359" w14:textId="721CC1D8" w:rsidR="00C720B8" w:rsidRDefault="00DD1119" w:rsidP="00DD1119">
      <w:pPr>
        <w:pStyle w:val="Caption"/>
        <w:jc w:val="center"/>
      </w:pPr>
      <w:bookmarkStart w:id="6" w:name="_Ref68008648"/>
      <w:r>
        <w:t xml:space="preserve">Figure </w:t>
      </w:r>
      <w:r w:rsidR="00931FF0">
        <w:rPr>
          <w:noProof/>
        </w:rPr>
        <w:fldChar w:fldCharType="begin"/>
      </w:r>
      <w:r w:rsidR="00931FF0">
        <w:rPr>
          <w:noProof/>
        </w:rPr>
        <w:instrText xml:space="preserve"> SEQ Figure \* ARABIC </w:instrText>
      </w:r>
      <w:r w:rsidR="00931FF0">
        <w:rPr>
          <w:noProof/>
        </w:rPr>
        <w:fldChar w:fldCharType="separate"/>
      </w:r>
      <w:r w:rsidR="0031708C">
        <w:rPr>
          <w:noProof/>
        </w:rPr>
        <w:t>1</w:t>
      </w:r>
      <w:r w:rsidR="00931FF0">
        <w:rPr>
          <w:noProof/>
        </w:rPr>
        <w:fldChar w:fldCharType="end"/>
      </w:r>
      <w:bookmarkEnd w:id="6"/>
      <w:r>
        <w:t xml:space="preserve"> Example with </w:t>
      </w:r>
      <w:proofErr w:type="spellStart"/>
      <w:r>
        <w:t>T</w:t>
      </w:r>
      <w:r w:rsidRPr="00DD1119">
        <w:rPr>
          <w:rFonts w:ascii="Times New Roman Bold" w:hAnsi="Times New Roman Bold"/>
          <w:vertAlign w:val="subscript"/>
        </w:rPr>
        <w:t>eDRX</w:t>
      </w:r>
      <w:proofErr w:type="spellEnd"/>
      <w:r>
        <w:t>=20.48 s and L=5.12 s for different UEs</w:t>
      </w:r>
    </w:p>
    <w:p w14:paraId="26E9C1F3" w14:textId="77777777" w:rsidR="00857A0D" w:rsidRDefault="00857A0D" w:rsidP="0052116F"/>
    <w:p w14:paraId="11094B30" w14:textId="0A8B2B73" w:rsidR="0070563C" w:rsidRDefault="00C720B8" w:rsidP="0052116F">
      <w:r>
        <w:t>T</w:t>
      </w:r>
      <w:r w:rsidR="0070563C">
        <w:t xml:space="preserve">he maximum value for the </w:t>
      </w:r>
      <w:proofErr w:type="spellStart"/>
      <w:r w:rsidR="0070563C">
        <w:t>eDRX</w:t>
      </w:r>
      <w:proofErr w:type="spellEnd"/>
      <w:r w:rsidR="0070563C">
        <w:t xml:space="preserve"> cycle and the number of </w:t>
      </w:r>
      <w:r w:rsidR="00857A0D">
        <w:t>possible</w:t>
      </w:r>
      <w:r w:rsidR="00942DA5">
        <w:t xml:space="preserve"> </w:t>
      </w:r>
      <w:proofErr w:type="spellStart"/>
      <w:r w:rsidR="0070563C">
        <w:t>PTW_start</w:t>
      </w:r>
      <w:proofErr w:type="spellEnd"/>
      <w:r w:rsidR="0096628F">
        <w:t xml:space="preserve"> </w:t>
      </w:r>
      <w:r w:rsidR="00857A0D">
        <w:t>offsets in a hyper-frame</w:t>
      </w:r>
      <w:r w:rsidR="0070563C">
        <w:t xml:space="preserve"> dictate the number of bits of the UE identi</w:t>
      </w:r>
      <w:r w:rsidR="00857A0D">
        <w:t>t</w:t>
      </w:r>
      <w:r w:rsidR="0070563C">
        <w:t xml:space="preserve">y (e.g. Hashed ID) that is used in the formulas. For example, to support a maximum </w:t>
      </w:r>
      <w:proofErr w:type="spellStart"/>
      <w:r w:rsidR="0070563C">
        <w:t>eDRX</w:t>
      </w:r>
      <w:proofErr w:type="spellEnd"/>
      <w:r w:rsidR="0070563C">
        <w:t xml:space="preserve"> cycle of 10485</w:t>
      </w:r>
      <w:r w:rsidR="00E9253A">
        <w:t xml:space="preserve">.76 </w:t>
      </w:r>
      <w:r w:rsidR="0070563C">
        <w:t>s 10 bits are needed</w:t>
      </w:r>
      <w:r w:rsidR="00D2246E">
        <w:t xml:space="preserve"> (</w:t>
      </w:r>
      <w:r w:rsidR="00DD1119">
        <w:t>to cover</w:t>
      </w:r>
      <w:r w:rsidR="00D2246E">
        <w:t xml:space="preserve"> 1024 hyper-frames)</w:t>
      </w:r>
      <w:r w:rsidR="0070563C">
        <w:t xml:space="preserve">, and </w:t>
      </w:r>
      <w:r>
        <w:t xml:space="preserve">additionally </w:t>
      </w:r>
      <w:r w:rsidR="0070563C">
        <w:t xml:space="preserve">to support 4 starting offsets 2 </w:t>
      </w:r>
      <w:r>
        <w:t xml:space="preserve">more </w:t>
      </w:r>
      <w:r w:rsidR="0070563C">
        <w:t xml:space="preserve">bits are needed, therefore in total 12 bits of UE identity are used in the </w:t>
      </w:r>
      <w:proofErr w:type="spellStart"/>
      <w:r w:rsidR="00857A0D">
        <w:t>eDRX</w:t>
      </w:r>
      <w:proofErr w:type="spellEnd"/>
      <w:r w:rsidR="00857A0D">
        <w:t xml:space="preserve"> </w:t>
      </w:r>
      <w:r w:rsidR="0070563C">
        <w:t>formulas for NB-</w:t>
      </w:r>
      <w:proofErr w:type="spellStart"/>
      <w:r w:rsidR="0070563C">
        <w:t>IoT</w:t>
      </w:r>
      <w:proofErr w:type="spellEnd"/>
      <w:r w:rsidR="0070563C">
        <w:t xml:space="preserve"> (i.e. NPDCCH case).</w:t>
      </w:r>
    </w:p>
    <w:p w14:paraId="4380B9B0" w14:textId="493F4CFD" w:rsidR="0070563C" w:rsidRDefault="00857A0D" w:rsidP="0052116F">
      <w:r>
        <w:t>The</w:t>
      </w:r>
      <w:r w:rsidR="0070563C">
        <w:t xml:space="preserve"> range </w:t>
      </w:r>
      <w:r w:rsidR="007A2295">
        <w:t>for</w:t>
      </w:r>
      <w:r w:rsidR="0070563C">
        <w:t xml:space="preserve"> the PTW length</w:t>
      </w:r>
      <w:r>
        <w:t xml:space="preserve"> (L) should also be </w:t>
      </w:r>
      <w:r w:rsidR="007A2295">
        <w:t>defined</w:t>
      </w:r>
      <w:r>
        <w:t xml:space="preserve"> for </w:t>
      </w:r>
      <w:proofErr w:type="spellStart"/>
      <w:r>
        <w:t>RedCap</w:t>
      </w:r>
      <w:proofErr w:type="spellEnd"/>
      <w:r w:rsidR="0070563C">
        <w:t>. In LTE, PTW length can take values between 1.28</w:t>
      </w:r>
      <w:r>
        <w:t xml:space="preserve"> </w:t>
      </w:r>
      <w:r w:rsidR="0070563C">
        <w:t>s and 20.48</w:t>
      </w:r>
      <w:r>
        <w:t xml:space="preserve"> </w:t>
      </w:r>
      <w:r w:rsidR="0070563C">
        <w:t xml:space="preserve">s for </w:t>
      </w:r>
      <w:proofErr w:type="spellStart"/>
      <w:r w:rsidR="0070563C">
        <w:t>eMTC</w:t>
      </w:r>
      <w:proofErr w:type="spellEnd"/>
      <w:r w:rsidR="0070563C">
        <w:t xml:space="preserve"> and 2.56</w:t>
      </w:r>
      <w:r>
        <w:t xml:space="preserve"> </w:t>
      </w:r>
      <w:r w:rsidR="0070563C">
        <w:t>s and 40.96</w:t>
      </w:r>
      <w:r>
        <w:t xml:space="preserve"> s</w:t>
      </w:r>
      <w:r w:rsidR="0070563C">
        <w:t xml:space="preserve"> for NB-</w:t>
      </w:r>
      <w:proofErr w:type="spellStart"/>
      <w:r w:rsidR="0070563C">
        <w:t>IoT</w:t>
      </w:r>
      <w:proofErr w:type="spellEnd"/>
      <w:r w:rsidR="0070563C">
        <w:t>.</w:t>
      </w:r>
      <w:r w:rsidR="00086274">
        <w:t xml:space="preserve"> For </w:t>
      </w:r>
      <w:proofErr w:type="spellStart"/>
      <w:r w:rsidR="00086274">
        <w:t>RedCap</w:t>
      </w:r>
      <w:proofErr w:type="spellEnd"/>
      <w:r w:rsidR="00086274">
        <w:t xml:space="preserve">, due to the wide range of scenarios and use cases, we </w:t>
      </w:r>
      <w:r>
        <w:t>can</w:t>
      </w:r>
      <w:r w:rsidR="00086274">
        <w:t xml:space="preserve"> use the </w:t>
      </w:r>
      <w:r>
        <w:t>combined</w:t>
      </w:r>
      <w:r w:rsidR="00086274">
        <w:t xml:space="preserve"> range of LTE/NB-</w:t>
      </w:r>
      <w:proofErr w:type="spellStart"/>
      <w:r w:rsidR="00086274">
        <w:t>IoT</w:t>
      </w:r>
      <w:proofErr w:type="spellEnd"/>
      <w:r w:rsidR="00086274">
        <w:t>, i.e. 1.28</w:t>
      </w:r>
      <w:r>
        <w:t xml:space="preserve"> </w:t>
      </w:r>
      <w:r w:rsidR="00086274">
        <w:t>s</w:t>
      </w:r>
      <w:r w:rsidR="00BF4BF5">
        <w:t xml:space="preserve"> </w:t>
      </w:r>
      <w:r w:rsidR="00086274">
        <w:t>-</w:t>
      </w:r>
      <w:r w:rsidR="00BF4BF5">
        <w:t xml:space="preserve"> </w:t>
      </w:r>
      <w:r w:rsidR="00086274">
        <w:t>40.96</w:t>
      </w:r>
      <w:r>
        <w:t xml:space="preserve"> </w:t>
      </w:r>
      <w:r w:rsidR="00086274">
        <w:t xml:space="preserve">s. This </w:t>
      </w:r>
      <w:r w:rsidR="00C720B8">
        <w:t>can</w:t>
      </w:r>
      <w:r w:rsidR="00086274">
        <w:t xml:space="preserve"> cover </w:t>
      </w:r>
      <w:r w:rsidR="00C720B8">
        <w:t xml:space="preserve">the </w:t>
      </w:r>
      <w:r w:rsidR="00086274">
        <w:t xml:space="preserve">use cases where </w:t>
      </w:r>
      <w:r w:rsidR="00C720B8">
        <w:t xml:space="preserve">minimizing the delay for the paging response </w:t>
      </w:r>
      <w:r w:rsidR="00086274">
        <w:t xml:space="preserve">is important, such as wearables, as well as </w:t>
      </w:r>
      <w:r w:rsidR="00C720B8">
        <w:t xml:space="preserve">the </w:t>
      </w:r>
      <w:r w:rsidR="00086274">
        <w:t xml:space="preserve">use cases where </w:t>
      </w:r>
      <w:r w:rsidR="00C720B8">
        <w:t xml:space="preserve">the </w:t>
      </w:r>
      <w:r w:rsidR="00086274">
        <w:t xml:space="preserve">power savings is </w:t>
      </w:r>
      <w:r w:rsidR="00C720B8">
        <w:t>a critical factor</w:t>
      </w:r>
      <w:r w:rsidR="00086274">
        <w:t>, such as industrial sensors.</w:t>
      </w:r>
      <w:r w:rsidR="00BF4BF5">
        <w:t xml:space="preserve"> The exact values within this range can be discussed further.</w:t>
      </w:r>
    </w:p>
    <w:p w14:paraId="49CE4E4D" w14:textId="6431B938" w:rsidR="00086274" w:rsidRPr="00DD1119" w:rsidRDefault="00086274" w:rsidP="0052116F">
      <w:pPr>
        <w:rPr>
          <w:b/>
        </w:rPr>
      </w:pPr>
      <w:r w:rsidRPr="000A79DF">
        <w:rPr>
          <w:b/>
        </w:rPr>
        <w:t>Proposal</w:t>
      </w:r>
      <w:r w:rsidR="00775E10">
        <w:rPr>
          <w:b/>
        </w:rPr>
        <w:t xml:space="preserve"> 1</w:t>
      </w:r>
      <w:r w:rsidRPr="000A79DF">
        <w:rPr>
          <w:b/>
        </w:rPr>
        <w:t xml:space="preserve">: The </w:t>
      </w:r>
      <w:r w:rsidR="00BF4BF5" w:rsidRPr="000A79DF">
        <w:rPr>
          <w:b/>
        </w:rPr>
        <w:t>minimum and maximum</w:t>
      </w:r>
      <w:r w:rsidRPr="000A79DF">
        <w:rPr>
          <w:b/>
        </w:rPr>
        <w:t xml:space="preserve"> PTW le</w:t>
      </w:r>
      <w:r w:rsidR="00C720B8" w:rsidRPr="000A79DF">
        <w:rPr>
          <w:b/>
        </w:rPr>
        <w:t xml:space="preserve">ngth </w:t>
      </w:r>
      <w:r w:rsidR="00525494">
        <w:rPr>
          <w:b/>
        </w:rPr>
        <w:t xml:space="preserve">values </w:t>
      </w:r>
      <w:r w:rsidR="00C720B8" w:rsidRPr="000A79DF">
        <w:rPr>
          <w:b/>
        </w:rPr>
        <w:t xml:space="preserve">in </w:t>
      </w:r>
      <w:proofErr w:type="spellStart"/>
      <w:r w:rsidR="00C720B8" w:rsidRPr="000A79DF">
        <w:rPr>
          <w:b/>
        </w:rPr>
        <w:t>RedCap</w:t>
      </w:r>
      <w:proofErr w:type="spellEnd"/>
      <w:r w:rsidR="00C720B8" w:rsidRPr="000A79DF">
        <w:rPr>
          <w:b/>
        </w:rPr>
        <w:t xml:space="preserve"> </w:t>
      </w:r>
      <w:r w:rsidR="00525494">
        <w:rPr>
          <w:b/>
        </w:rPr>
        <w:t>are</w:t>
      </w:r>
      <w:r w:rsidR="00BF4BF5" w:rsidRPr="000A79DF">
        <w:rPr>
          <w:b/>
        </w:rPr>
        <w:t xml:space="preserve"> </w:t>
      </w:r>
      <w:r w:rsidR="00C720B8" w:rsidRPr="000A79DF">
        <w:rPr>
          <w:b/>
        </w:rPr>
        <w:t>1.28</w:t>
      </w:r>
      <w:r w:rsidR="00857A0D" w:rsidRPr="000A79DF">
        <w:rPr>
          <w:b/>
        </w:rPr>
        <w:t xml:space="preserve"> </w:t>
      </w:r>
      <w:r w:rsidR="00C720B8" w:rsidRPr="000A79DF">
        <w:rPr>
          <w:b/>
        </w:rPr>
        <w:t>s</w:t>
      </w:r>
      <w:r w:rsidR="00857A0D" w:rsidRPr="000A79DF">
        <w:rPr>
          <w:b/>
        </w:rPr>
        <w:t xml:space="preserve"> </w:t>
      </w:r>
      <w:r w:rsidR="00BF4BF5" w:rsidRPr="000A79DF">
        <w:rPr>
          <w:b/>
        </w:rPr>
        <w:t>and</w:t>
      </w:r>
      <w:r w:rsidR="00857A0D" w:rsidRPr="000A79DF">
        <w:rPr>
          <w:b/>
        </w:rPr>
        <w:t xml:space="preserve"> </w:t>
      </w:r>
      <w:r w:rsidR="00C720B8" w:rsidRPr="000A79DF">
        <w:rPr>
          <w:b/>
        </w:rPr>
        <w:t>40.96</w:t>
      </w:r>
      <w:r w:rsidR="00857A0D" w:rsidRPr="000A79DF">
        <w:rPr>
          <w:b/>
        </w:rPr>
        <w:t xml:space="preserve"> </w:t>
      </w:r>
      <w:r w:rsidR="00C720B8" w:rsidRPr="000A79DF">
        <w:rPr>
          <w:b/>
        </w:rPr>
        <w:t>s</w:t>
      </w:r>
      <w:r w:rsidR="00BF4BF5" w:rsidRPr="000A79DF">
        <w:rPr>
          <w:b/>
        </w:rPr>
        <w:t xml:space="preserve"> respectively</w:t>
      </w:r>
      <w:r w:rsidR="00C720B8" w:rsidRPr="000A79DF">
        <w:rPr>
          <w:b/>
        </w:rPr>
        <w:t>.</w:t>
      </w:r>
      <w:r w:rsidR="00BF4BF5" w:rsidRPr="000A79DF">
        <w:rPr>
          <w:b/>
        </w:rPr>
        <w:t xml:space="preserve"> </w:t>
      </w:r>
      <w:r w:rsidR="00525494">
        <w:rPr>
          <w:b/>
        </w:rPr>
        <w:t>Other</w:t>
      </w:r>
      <w:r w:rsidR="00BF4BF5" w:rsidRPr="000A79DF">
        <w:rPr>
          <w:b/>
        </w:rPr>
        <w:t xml:space="preserve"> values within this range are FFS.</w:t>
      </w:r>
    </w:p>
    <w:p w14:paraId="66B9DC72" w14:textId="288474D0" w:rsidR="001044C4" w:rsidRDefault="001044C4" w:rsidP="0052116F">
      <w:r>
        <w:t xml:space="preserve">Fixing the number of possible </w:t>
      </w:r>
      <w:proofErr w:type="spellStart"/>
      <w:r>
        <w:t>PTW_start</w:t>
      </w:r>
      <w:proofErr w:type="spellEnd"/>
      <w:r>
        <w:t xml:space="preserve"> </w:t>
      </w:r>
      <w:r w:rsidR="008932C3">
        <w:t>positions in a hyper-frame</w:t>
      </w:r>
      <w:r>
        <w:t xml:space="preserve"> to 4 (i.e. 256 SFNs between each other) introduces some limitations for the network configuration of </w:t>
      </w:r>
      <w:proofErr w:type="spellStart"/>
      <w:r>
        <w:t>eDRX</w:t>
      </w:r>
      <w:proofErr w:type="spellEnd"/>
      <w:r>
        <w:t xml:space="preserve"> for multiple UEs. For example, for small values of L (1.28 s), there may be time gaps where no UE can be paged by the network. This can be illustrated </w:t>
      </w:r>
      <w:r w:rsidR="00DD1119">
        <w:t>in</w:t>
      </w:r>
      <w:r w:rsidR="005B0646">
        <w:t xml:space="preserve"> </w:t>
      </w:r>
      <w:r w:rsidR="005B0646">
        <w:fldChar w:fldCharType="begin"/>
      </w:r>
      <w:r w:rsidR="005B0646">
        <w:instrText xml:space="preserve"> REF _Ref68010161 \h </w:instrText>
      </w:r>
      <w:r w:rsidR="005B0646">
        <w:fldChar w:fldCharType="separate"/>
      </w:r>
      <w:r w:rsidR="0031708C">
        <w:t xml:space="preserve">Figure </w:t>
      </w:r>
      <w:r w:rsidR="0031708C">
        <w:rPr>
          <w:noProof/>
        </w:rPr>
        <w:t>2</w:t>
      </w:r>
      <w:r w:rsidR="005B0646">
        <w:fldChar w:fldCharType="end"/>
      </w:r>
      <w:r w:rsidR="00DD1119">
        <w:t xml:space="preserve"> </w:t>
      </w:r>
      <w:r>
        <w:t>below.</w:t>
      </w:r>
    </w:p>
    <w:p w14:paraId="76F72C27" w14:textId="77777777" w:rsidR="00DD1119" w:rsidRDefault="001044C4" w:rsidP="00DD1119">
      <w:pPr>
        <w:keepNext/>
        <w:jc w:val="center"/>
      </w:pPr>
      <w:r w:rsidRPr="001044C4">
        <w:rPr>
          <w:noProof/>
          <w:lang w:eastAsia="en-GB"/>
        </w:rPr>
        <w:drawing>
          <wp:inline distT="0" distB="0" distL="0" distR="0" wp14:anchorId="28066DE6" wp14:editId="19DF5430">
            <wp:extent cx="6645910" cy="198276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982767"/>
                    </a:xfrm>
                    <a:prstGeom prst="rect">
                      <a:avLst/>
                    </a:prstGeom>
                    <a:noFill/>
                    <a:ln>
                      <a:noFill/>
                    </a:ln>
                  </pic:spPr>
                </pic:pic>
              </a:graphicData>
            </a:graphic>
          </wp:inline>
        </w:drawing>
      </w:r>
    </w:p>
    <w:p w14:paraId="02766D0D" w14:textId="0E9BB603" w:rsidR="000A1B56" w:rsidRDefault="00DD1119" w:rsidP="00DD1119">
      <w:pPr>
        <w:pStyle w:val="Caption"/>
        <w:jc w:val="center"/>
      </w:pPr>
      <w:bookmarkStart w:id="7" w:name="_Ref68010161"/>
      <w:r>
        <w:t xml:space="preserve">Figure </w:t>
      </w:r>
      <w:r w:rsidR="00931FF0">
        <w:rPr>
          <w:noProof/>
        </w:rPr>
        <w:fldChar w:fldCharType="begin"/>
      </w:r>
      <w:r w:rsidR="00931FF0">
        <w:rPr>
          <w:noProof/>
        </w:rPr>
        <w:instrText xml:space="preserve"> SEQ Figure \* ARABIC </w:instrText>
      </w:r>
      <w:r w:rsidR="00931FF0">
        <w:rPr>
          <w:noProof/>
        </w:rPr>
        <w:fldChar w:fldCharType="separate"/>
      </w:r>
      <w:r w:rsidR="0031708C">
        <w:rPr>
          <w:noProof/>
        </w:rPr>
        <w:t>2</w:t>
      </w:r>
      <w:r w:rsidR="00931FF0">
        <w:rPr>
          <w:noProof/>
        </w:rPr>
        <w:fldChar w:fldCharType="end"/>
      </w:r>
      <w:bookmarkEnd w:id="7"/>
      <w:r>
        <w:t xml:space="preserve"> Example with </w:t>
      </w:r>
      <w:proofErr w:type="spellStart"/>
      <w:r>
        <w:t>T</w:t>
      </w:r>
      <w:r w:rsidRPr="00DD1119">
        <w:rPr>
          <w:rFonts w:ascii="Times New Roman Bold" w:hAnsi="Times New Roman Bold"/>
          <w:vertAlign w:val="subscript"/>
        </w:rPr>
        <w:t>eDRX</w:t>
      </w:r>
      <w:proofErr w:type="spellEnd"/>
      <w:r>
        <w:t>=20.48 s and L=1.28 s for different UEs</w:t>
      </w:r>
    </w:p>
    <w:p w14:paraId="57C2CCFA" w14:textId="77777777" w:rsidR="00775E10" w:rsidRDefault="00775E10" w:rsidP="0052116F"/>
    <w:p w14:paraId="27AD82D7" w14:textId="60EF8029" w:rsidR="001044C4" w:rsidRDefault="00A97BE5" w:rsidP="0052116F">
      <w:r>
        <w:t>As a</w:t>
      </w:r>
      <w:r w:rsidR="00775E10">
        <w:t>n</w:t>
      </w:r>
      <w:r w:rsidR="00DD1119">
        <w:t xml:space="preserve"> </w:t>
      </w:r>
      <w:r w:rsidR="00BF4BF5">
        <w:t xml:space="preserve">enhancement, the offset </w:t>
      </w:r>
      <w:r w:rsidR="008932C3">
        <w:t xml:space="preserve">between </w:t>
      </w:r>
      <w:proofErr w:type="spellStart"/>
      <w:r w:rsidR="008932C3">
        <w:t>PTW_start</w:t>
      </w:r>
      <w:proofErr w:type="spellEnd"/>
      <w:r w:rsidR="008932C3">
        <w:t xml:space="preserve"> positions </w:t>
      </w:r>
      <w:r w:rsidR="00BF4BF5">
        <w:t xml:space="preserve">can be </w:t>
      </w:r>
      <w:r w:rsidR="00940959">
        <w:t>configurable</w:t>
      </w:r>
      <w:r w:rsidR="00BF4BF5">
        <w:t xml:space="preserve"> by the network, and the formulas above can be updated </w:t>
      </w:r>
      <w:r w:rsidR="00546AA6">
        <w:t>accordingly.</w:t>
      </w:r>
      <w:r w:rsidR="00BF4BF5">
        <w:t xml:space="preserve"> This can enable the network to </w:t>
      </w:r>
      <w:r w:rsidR="00144A06">
        <w:t>schedule</w:t>
      </w:r>
      <w:r w:rsidR="00BF4BF5">
        <w:t xml:space="preserve"> </w:t>
      </w:r>
      <w:r w:rsidR="00DD1119">
        <w:t>the</w:t>
      </w:r>
      <w:r w:rsidR="00BF4BF5">
        <w:t xml:space="preserve"> paging cycles for multiple UEs </w:t>
      </w:r>
      <w:r w:rsidR="00DD1119">
        <w:t>in a more flexible and efficient manner</w:t>
      </w:r>
      <w:r w:rsidR="00BF4BF5">
        <w:t>.</w:t>
      </w:r>
      <w:r w:rsidR="007E1C96">
        <w:t xml:space="preserve"> Note that this will have an effect on the number of UE_ID_H bits used in the formulas (for example, if the offset is 128 SFN instead of 256 SFN, one more bit of UE_ID_H will be used in the formulas).</w:t>
      </w:r>
    </w:p>
    <w:p w14:paraId="0E366A36" w14:textId="3518B005" w:rsidR="008932C3" w:rsidRDefault="008932C3" w:rsidP="0052116F">
      <w:r>
        <w:lastRenderedPageBreak/>
        <w:t xml:space="preserve">Alternatively, the offset between the starting positions for </w:t>
      </w:r>
      <w:proofErr w:type="spellStart"/>
      <w:r>
        <w:t>PTW_start</w:t>
      </w:r>
      <w:proofErr w:type="spellEnd"/>
      <w:r>
        <w:t xml:space="preserve"> could be reduced to 128 SFNs. This will require one more bit of UE_ID_H to be used in the PH/PTW calculations.</w:t>
      </w:r>
    </w:p>
    <w:p w14:paraId="316E2C20" w14:textId="5DF76186" w:rsidR="008932C3" w:rsidRDefault="00BF4BF5" w:rsidP="008932C3">
      <w:pPr>
        <w:spacing w:after="0"/>
        <w:rPr>
          <w:b/>
        </w:rPr>
      </w:pPr>
      <w:r w:rsidRPr="000A79DF">
        <w:rPr>
          <w:b/>
        </w:rPr>
        <w:t>Proposal</w:t>
      </w:r>
      <w:r w:rsidR="00775E10">
        <w:rPr>
          <w:b/>
        </w:rPr>
        <w:t xml:space="preserve"> 2</w:t>
      </w:r>
      <w:r w:rsidRPr="000A79DF">
        <w:rPr>
          <w:b/>
        </w:rPr>
        <w:t xml:space="preserve">: </w:t>
      </w:r>
      <w:r w:rsidR="008932C3">
        <w:rPr>
          <w:b/>
        </w:rPr>
        <w:t>RAN2 to select from the fol</w:t>
      </w:r>
      <w:r w:rsidR="001D701F">
        <w:rPr>
          <w:b/>
        </w:rPr>
        <w:t xml:space="preserve">lowing options regarding the </w:t>
      </w:r>
      <w:proofErr w:type="spellStart"/>
      <w:r w:rsidR="001D701F">
        <w:rPr>
          <w:b/>
        </w:rPr>
        <w:t>PTW</w:t>
      </w:r>
      <w:r w:rsidR="008932C3">
        <w:rPr>
          <w:b/>
        </w:rPr>
        <w:t>_start</w:t>
      </w:r>
      <w:proofErr w:type="spellEnd"/>
      <w:r w:rsidR="008932C3">
        <w:rPr>
          <w:b/>
        </w:rPr>
        <w:t xml:space="preserve"> positions:</w:t>
      </w:r>
    </w:p>
    <w:p w14:paraId="35C75A1C" w14:textId="77777777" w:rsidR="00DC7B11" w:rsidRDefault="008932C3" w:rsidP="008932C3">
      <w:pPr>
        <w:pStyle w:val="ListParagraph"/>
        <w:numPr>
          <w:ilvl w:val="0"/>
          <w:numId w:val="25"/>
        </w:numPr>
        <w:spacing w:after="0"/>
        <w:rPr>
          <w:b/>
        </w:rPr>
      </w:pPr>
      <w:r>
        <w:rPr>
          <w:b/>
        </w:rPr>
        <w:t>C</w:t>
      </w:r>
      <w:r w:rsidR="00775E10">
        <w:rPr>
          <w:b/>
        </w:rPr>
        <w:t>onfigurable</w:t>
      </w:r>
      <w:r w:rsidR="00BF4BF5" w:rsidRPr="000A79DF">
        <w:rPr>
          <w:b/>
        </w:rPr>
        <w:t xml:space="preserve"> by the network (i.e. not fixed to</w:t>
      </w:r>
      <w:r>
        <w:rPr>
          <w:b/>
        </w:rPr>
        <w:t xml:space="preserve"> multiples of 256 SFNs as in LTE)</w:t>
      </w:r>
    </w:p>
    <w:p w14:paraId="12F030C4" w14:textId="77777777" w:rsidR="00DC7B11" w:rsidRDefault="008932C3" w:rsidP="0052116F">
      <w:pPr>
        <w:pStyle w:val="ListParagraph"/>
        <w:numPr>
          <w:ilvl w:val="0"/>
          <w:numId w:val="25"/>
        </w:numPr>
        <w:spacing w:after="0"/>
        <w:rPr>
          <w:b/>
        </w:rPr>
      </w:pPr>
      <w:r w:rsidRPr="00DC7B11">
        <w:rPr>
          <w:b/>
        </w:rPr>
        <w:t>Fixed to multiples of 128 SFNs.</w:t>
      </w:r>
    </w:p>
    <w:p w14:paraId="001BD0F9" w14:textId="238B87B3" w:rsidR="008932C3" w:rsidRPr="00DC7B11" w:rsidRDefault="008932C3" w:rsidP="0052116F">
      <w:pPr>
        <w:pStyle w:val="ListParagraph"/>
        <w:numPr>
          <w:ilvl w:val="0"/>
          <w:numId w:val="25"/>
        </w:numPr>
        <w:spacing w:after="0"/>
        <w:rPr>
          <w:b/>
        </w:rPr>
      </w:pPr>
      <w:r w:rsidRPr="00DC7B11">
        <w:rPr>
          <w:b/>
        </w:rPr>
        <w:t>Fixed to multiples of 256 SFNs as in LTE (at a potential cost of gaps between PTWs).</w:t>
      </w:r>
    </w:p>
    <w:p w14:paraId="5E600065" w14:textId="77777777" w:rsidR="00DC7B11" w:rsidRDefault="00DC7B11" w:rsidP="000A79DF"/>
    <w:p w14:paraId="187BE066" w14:textId="7ABAC456" w:rsidR="002A5310" w:rsidRDefault="000A79DF" w:rsidP="000A79DF">
      <w:r>
        <w:t xml:space="preserve">For determining the UE specific </w:t>
      </w:r>
      <w:proofErr w:type="spellStart"/>
      <w:r>
        <w:t>eDRX</w:t>
      </w:r>
      <w:proofErr w:type="spellEnd"/>
      <w:r>
        <w:t xml:space="preserve"> cycle in LTE, </w:t>
      </w:r>
      <w:r w:rsidR="00FC368F">
        <w:t xml:space="preserve">when the UE is connected to 5GC, </w:t>
      </w:r>
      <w:r>
        <w:t xml:space="preserve">a hashed UE ID based on </w:t>
      </w:r>
      <w:r w:rsidRPr="0089195E">
        <w:t xml:space="preserve">5G-S-TMSI </w:t>
      </w:r>
      <w:r w:rsidR="00FC368F">
        <w:t>is used</w:t>
      </w:r>
      <w:r w:rsidR="00A74C02">
        <w:t>. The main reasons for using a H</w:t>
      </w:r>
      <w:r>
        <w:t xml:space="preserve">ashed ID rather than the S-TMSI itself </w:t>
      </w:r>
      <w:r w:rsidR="00DD1119">
        <w:t>are</w:t>
      </w:r>
      <w:r>
        <w:t xml:space="preserve"> randomness and security. </w:t>
      </w:r>
      <w:r w:rsidRPr="0089195E">
        <w:t>The UE ID used for determining the PFs/POs during the PTW should be different from the UE ID used for determining the PH/</w:t>
      </w:r>
      <w:proofErr w:type="spellStart"/>
      <w:r w:rsidRPr="0089195E">
        <w:t>PTW_start</w:t>
      </w:r>
      <w:proofErr w:type="spellEnd"/>
      <w:r w:rsidRPr="0089195E">
        <w:t xml:space="preserve">. Otherwise, only a subset of PFs will be used in a </w:t>
      </w:r>
      <w:r w:rsidR="00DD1119">
        <w:t>hyper-frame</w:t>
      </w:r>
      <w:r w:rsidRPr="0089195E">
        <w:t>.</w:t>
      </w:r>
      <w:r>
        <w:t xml:space="preserve"> On the other hand, using </w:t>
      </w:r>
      <w:r w:rsidR="00DA2681">
        <w:t>too many</w:t>
      </w:r>
      <w:r>
        <w:t xml:space="preserve"> bits of S-TMSI or IMSI was</w:t>
      </w:r>
      <w:r w:rsidR="002A5310">
        <w:t xml:space="preserve"> considered as a security risk.</w:t>
      </w:r>
      <w:r w:rsidR="00DD1119">
        <w:t xml:space="preserve"> Therefore, a Hashed ID </w:t>
      </w:r>
      <w:r w:rsidR="000A1D46">
        <w:t xml:space="preserve">that is based on an FCS generated from S-TMSI </w:t>
      </w:r>
      <w:r w:rsidR="00DD1119">
        <w:t>was used.</w:t>
      </w:r>
    </w:p>
    <w:p w14:paraId="31AFCDBA" w14:textId="468F6687" w:rsidR="000A79DF" w:rsidRDefault="000A79DF" w:rsidP="000A79DF">
      <w:r>
        <w:t>We think th</w:t>
      </w:r>
      <w:r w:rsidR="002A5310">
        <w:t>at the H</w:t>
      </w:r>
      <w:r>
        <w:t xml:space="preserve">ashed UE ID </w:t>
      </w:r>
      <w:r w:rsidR="00775E10">
        <w:t>calculation</w:t>
      </w:r>
      <w:r>
        <w:t xml:space="preserve"> </w:t>
      </w:r>
      <w:r w:rsidR="002A5310">
        <w:t xml:space="preserve">in LTE </w:t>
      </w:r>
      <w:r>
        <w:t xml:space="preserve">should be re-used for </w:t>
      </w:r>
      <w:proofErr w:type="spellStart"/>
      <w:r>
        <w:t>RedCap</w:t>
      </w:r>
      <w:proofErr w:type="spellEnd"/>
      <w:r>
        <w:t>, which is already supported by 5GC.</w:t>
      </w:r>
    </w:p>
    <w:p w14:paraId="40741856" w14:textId="4C5DD0CA" w:rsidR="000A79DF" w:rsidRDefault="000A79DF" w:rsidP="000A79DF">
      <w:pPr>
        <w:rPr>
          <w:b/>
        </w:rPr>
      </w:pPr>
      <w:r>
        <w:rPr>
          <w:b/>
        </w:rPr>
        <w:t>Proposal</w:t>
      </w:r>
      <w:r w:rsidR="00775E10">
        <w:rPr>
          <w:b/>
        </w:rPr>
        <w:t xml:space="preserve"> 3</w:t>
      </w:r>
      <w:r>
        <w:rPr>
          <w:b/>
        </w:rPr>
        <w:t>: T</w:t>
      </w:r>
      <w:r w:rsidR="002A5310">
        <w:rPr>
          <w:b/>
        </w:rPr>
        <w:t>he H</w:t>
      </w:r>
      <w:r w:rsidRPr="0089195E">
        <w:rPr>
          <w:b/>
        </w:rPr>
        <w:t xml:space="preserve">ashed UE ID </w:t>
      </w:r>
      <w:r w:rsidR="00775E10">
        <w:rPr>
          <w:b/>
        </w:rPr>
        <w:t xml:space="preserve">calculation </w:t>
      </w:r>
      <w:r w:rsidRPr="0089195E">
        <w:rPr>
          <w:b/>
        </w:rPr>
        <w:t xml:space="preserve">from LTE </w:t>
      </w:r>
      <w:r w:rsidR="003F493A">
        <w:rPr>
          <w:b/>
        </w:rPr>
        <w:t xml:space="preserve">(TS 36.304) </w:t>
      </w:r>
      <w:r>
        <w:rPr>
          <w:b/>
        </w:rPr>
        <w:t xml:space="preserve">is re-used </w:t>
      </w:r>
      <w:r w:rsidR="00DD1119">
        <w:rPr>
          <w:b/>
        </w:rPr>
        <w:t>in</w:t>
      </w:r>
      <w:r w:rsidRPr="0089195E">
        <w:rPr>
          <w:b/>
        </w:rPr>
        <w:t xml:space="preserve"> </w:t>
      </w:r>
      <w:proofErr w:type="spellStart"/>
      <w:r w:rsidRPr="0089195E">
        <w:rPr>
          <w:b/>
        </w:rPr>
        <w:t>eDRX</w:t>
      </w:r>
      <w:proofErr w:type="spellEnd"/>
      <w:r w:rsidRPr="0089195E">
        <w:rPr>
          <w:b/>
        </w:rPr>
        <w:t xml:space="preserve"> </w:t>
      </w:r>
      <w:r w:rsidR="00DD1119">
        <w:rPr>
          <w:b/>
        </w:rPr>
        <w:t>calculations</w:t>
      </w:r>
      <w:r w:rsidRPr="0089195E">
        <w:rPr>
          <w:b/>
        </w:rPr>
        <w:t>.</w:t>
      </w:r>
    </w:p>
    <w:p w14:paraId="48A3F122" w14:textId="77777777" w:rsidR="002B6434" w:rsidRPr="002B1B05" w:rsidRDefault="002B6434" w:rsidP="0052116F"/>
    <w:p w14:paraId="770F01EF" w14:textId="7D22CF44" w:rsidR="00864A49" w:rsidRDefault="006823B1" w:rsidP="006823B1">
      <w:pPr>
        <w:pStyle w:val="Heading2"/>
      </w:pPr>
      <w:r>
        <w:t>2.2</w:t>
      </w:r>
      <w:r w:rsidR="000A79DF">
        <w:rPr>
          <w:b/>
        </w:rPr>
        <w:t xml:space="preserve"> </w:t>
      </w:r>
      <w:r w:rsidR="00864A49">
        <w:t xml:space="preserve">Indication of </w:t>
      </w:r>
      <w:proofErr w:type="spellStart"/>
      <w:r w:rsidR="00864A49">
        <w:t>eDRX</w:t>
      </w:r>
      <w:proofErr w:type="spellEnd"/>
      <w:r w:rsidR="00864A49">
        <w:t xml:space="preserve"> </w:t>
      </w:r>
      <w:r w:rsidR="0003544F">
        <w:t>allowed in</w:t>
      </w:r>
      <w:r w:rsidR="00864A49">
        <w:t xml:space="preserve"> the cell</w:t>
      </w:r>
    </w:p>
    <w:p w14:paraId="0DA5A196" w14:textId="4BC60CF2" w:rsidR="0003544F" w:rsidRDefault="00864A49" w:rsidP="00A479CC">
      <w:r>
        <w:t xml:space="preserve">In LTE, whether the </w:t>
      </w:r>
      <w:proofErr w:type="spellStart"/>
      <w:r>
        <w:t>eDRX</w:t>
      </w:r>
      <w:proofErr w:type="spellEnd"/>
      <w:r>
        <w:t xml:space="preserve"> </w:t>
      </w:r>
      <w:r w:rsidR="0003544F">
        <w:t xml:space="preserve">is allowed in a cell </w:t>
      </w:r>
      <w:r>
        <w:t>or no</w:t>
      </w:r>
      <w:r w:rsidR="0003544F">
        <w:t xml:space="preserve">t is indicated by the </w:t>
      </w:r>
      <w:proofErr w:type="spellStart"/>
      <w:r w:rsidR="0003544F" w:rsidRPr="0003544F">
        <w:rPr>
          <w:i/>
        </w:rPr>
        <w:t>eDRX</w:t>
      </w:r>
      <w:proofErr w:type="spellEnd"/>
      <w:r w:rsidR="0003544F" w:rsidRPr="0003544F">
        <w:rPr>
          <w:i/>
        </w:rPr>
        <w:t>-Allowed</w:t>
      </w:r>
      <w:r w:rsidR="0003544F">
        <w:t xml:space="preserve"> flag carried in SIB1</w:t>
      </w:r>
      <w:r>
        <w:t>.</w:t>
      </w:r>
      <w:r w:rsidR="0003544F">
        <w:t xml:space="preserve"> The</w:t>
      </w:r>
      <w:r w:rsidR="0003544F" w:rsidRPr="005C2BB7">
        <w:t xml:space="preserve"> UE may operate in extended DRX only if the UE is configured by upper layers and the cell indicates support </w:t>
      </w:r>
      <w:r w:rsidR="000862D0">
        <w:t xml:space="preserve">for </w:t>
      </w:r>
      <w:proofErr w:type="spellStart"/>
      <w:r w:rsidR="000862D0">
        <w:t>eDRX</w:t>
      </w:r>
      <w:proofErr w:type="spellEnd"/>
      <w:r w:rsidR="000862D0">
        <w:t xml:space="preserve"> in System Information.</w:t>
      </w:r>
      <w:r>
        <w:t xml:space="preserve"> </w:t>
      </w:r>
      <w:r w:rsidR="0003544F" w:rsidRPr="000E4E7F">
        <w:rPr>
          <w:lang w:eastAsia="en-GB"/>
        </w:rPr>
        <w:t>The UE stop</w:t>
      </w:r>
      <w:r w:rsidR="0003544F">
        <w:rPr>
          <w:lang w:eastAsia="en-GB"/>
        </w:rPr>
        <w:t>s</w:t>
      </w:r>
      <w:r w:rsidR="0003544F" w:rsidRPr="000E4E7F">
        <w:rPr>
          <w:lang w:eastAsia="en-GB"/>
        </w:rPr>
        <w:t xml:space="preserve"> using extended DRX if </w:t>
      </w:r>
      <w:proofErr w:type="spellStart"/>
      <w:r w:rsidR="0003544F" w:rsidRPr="000E4E7F">
        <w:rPr>
          <w:i/>
          <w:lang w:eastAsia="en-GB"/>
        </w:rPr>
        <w:t>eDRX</w:t>
      </w:r>
      <w:proofErr w:type="spellEnd"/>
      <w:r w:rsidR="0003544F" w:rsidRPr="000E4E7F">
        <w:rPr>
          <w:i/>
          <w:lang w:eastAsia="en-GB"/>
        </w:rPr>
        <w:t>-Allowed</w:t>
      </w:r>
      <w:r w:rsidR="0003544F" w:rsidRPr="000E4E7F">
        <w:rPr>
          <w:lang w:eastAsia="en-GB"/>
        </w:rPr>
        <w:t xml:space="preserve"> is not present</w:t>
      </w:r>
      <w:r w:rsidR="00823D46">
        <w:rPr>
          <w:lang w:eastAsia="en-GB"/>
        </w:rPr>
        <w:t xml:space="preserve"> after cell reselection</w:t>
      </w:r>
      <w:r w:rsidR="0003544F">
        <w:t xml:space="preserve">. </w:t>
      </w:r>
      <w:r w:rsidR="00292D88">
        <w:t>On the other hand</w:t>
      </w:r>
      <w:r w:rsidR="00823D46">
        <w:t>, in NB-</w:t>
      </w:r>
      <w:proofErr w:type="spellStart"/>
      <w:r w:rsidR="00823D46">
        <w:t>IoT</w:t>
      </w:r>
      <w:proofErr w:type="spellEnd"/>
      <w:r>
        <w:t xml:space="preserve"> </w:t>
      </w:r>
      <w:proofErr w:type="spellStart"/>
      <w:r>
        <w:t>eDRX</w:t>
      </w:r>
      <w:proofErr w:type="spellEnd"/>
      <w:r>
        <w:t xml:space="preserve"> support is mandatory in the network and therefore a s</w:t>
      </w:r>
      <w:r w:rsidR="0003544F">
        <w:t>eparate flag was not necessary.</w:t>
      </w:r>
    </w:p>
    <w:p w14:paraId="3F592D67" w14:textId="37A5F668" w:rsidR="00637C99" w:rsidRDefault="00FE776C" w:rsidP="00A479CC">
      <w:r>
        <w:t xml:space="preserve">For </w:t>
      </w:r>
      <w:proofErr w:type="spellStart"/>
      <w:r>
        <w:t>RedCap</w:t>
      </w:r>
      <w:proofErr w:type="spellEnd"/>
      <w:r>
        <w:t xml:space="preserve">, </w:t>
      </w:r>
      <w:r w:rsidR="00637C99">
        <w:t>two options can be considered:</w:t>
      </w:r>
    </w:p>
    <w:p w14:paraId="7FC235CC" w14:textId="6F316D53" w:rsidR="00864A49" w:rsidRDefault="00637C99" w:rsidP="00A479CC">
      <w:pPr>
        <w:pStyle w:val="ListParagraph"/>
        <w:numPr>
          <w:ilvl w:val="0"/>
          <w:numId w:val="24"/>
        </w:numPr>
      </w:pPr>
      <w:r>
        <w:t>N</w:t>
      </w:r>
      <w:r w:rsidR="00FE776C">
        <w:t>ot all NR</w:t>
      </w:r>
      <w:r>
        <w:t xml:space="preserve"> </w:t>
      </w:r>
      <w:proofErr w:type="spellStart"/>
      <w:r>
        <w:t>RedCap</w:t>
      </w:r>
      <w:proofErr w:type="spellEnd"/>
      <w:r w:rsidR="00FE776C">
        <w:t xml:space="preserve"> cells</w:t>
      </w:r>
      <w:r w:rsidR="00823D46">
        <w:t xml:space="preserve"> </w:t>
      </w:r>
      <w:r w:rsidR="00F16682">
        <w:t xml:space="preserve">support </w:t>
      </w:r>
      <w:proofErr w:type="spellStart"/>
      <w:r w:rsidR="00F16682">
        <w:t>eDRX</w:t>
      </w:r>
      <w:proofErr w:type="spellEnd"/>
      <w:r w:rsidR="00F16682">
        <w:t xml:space="preserve">. </w:t>
      </w:r>
      <w:r>
        <w:t>A</w:t>
      </w:r>
      <w:r w:rsidR="00FE776C">
        <w:t xml:space="preserve"> flag</w:t>
      </w:r>
      <w:r w:rsidR="00F16682">
        <w:t xml:space="preserve"> in system information</w:t>
      </w:r>
      <w:r w:rsidR="00FE776C">
        <w:t xml:space="preserve"> </w:t>
      </w:r>
      <w:r>
        <w:t>is needed</w:t>
      </w:r>
      <w:r w:rsidR="00FE776C">
        <w:t xml:space="preserve"> to indicate </w:t>
      </w:r>
      <w:r w:rsidR="00F16682">
        <w:t xml:space="preserve">whether a cell supports </w:t>
      </w:r>
      <w:proofErr w:type="spellStart"/>
      <w:r w:rsidR="00F16682">
        <w:t>eDRX</w:t>
      </w:r>
      <w:proofErr w:type="spellEnd"/>
      <w:r w:rsidR="00F16682">
        <w:t xml:space="preserve"> or not</w:t>
      </w:r>
      <w:r w:rsidR="00FE776C">
        <w:t>.</w:t>
      </w:r>
      <w:r>
        <w:t xml:space="preserve"> This could be broadcast in system information as in </w:t>
      </w:r>
      <w:proofErr w:type="spellStart"/>
      <w:r>
        <w:t>eMTC</w:t>
      </w:r>
      <w:proofErr w:type="spellEnd"/>
      <w:r>
        <w:t xml:space="preserve">, e.g. in SIB1. When the UE moves to a cell that does not support </w:t>
      </w:r>
      <w:proofErr w:type="spellStart"/>
      <w:r>
        <w:t>eDRX</w:t>
      </w:r>
      <w:proofErr w:type="spellEnd"/>
      <w:r>
        <w:t xml:space="preserve">, it stops the </w:t>
      </w:r>
      <w:proofErr w:type="spellStart"/>
      <w:r>
        <w:t>eDRX</w:t>
      </w:r>
      <w:proofErr w:type="spellEnd"/>
      <w:r>
        <w:t xml:space="preserve"> operation, if configured.</w:t>
      </w:r>
    </w:p>
    <w:p w14:paraId="18EE7C66" w14:textId="06540E0F" w:rsidR="00637C99" w:rsidRDefault="00637C99" w:rsidP="00A479CC">
      <w:pPr>
        <w:pStyle w:val="ListParagraph"/>
        <w:numPr>
          <w:ilvl w:val="0"/>
          <w:numId w:val="24"/>
        </w:numPr>
      </w:pPr>
      <w:r>
        <w:t xml:space="preserve">All </w:t>
      </w:r>
      <w:proofErr w:type="spellStart"/>
      <w:r>
        <w:t>RedCap</w:t>
      </w:r>
      <w:proofErr w:type="spellEnd"/>
      <w:r>
        <w:t xml:space="preserve"> cells have to support </w:t>
      </w:r>
      <w:proofErr w:type="spellStart"/>
      <w:r>
        <w:t>eDRX</w:t>
      </w:r>
      <w:proofErr w:type="spellEnd"/>
      <w:r>
        <w:t xml:space="preserve">. In this case a flag on cell basis in system information is not needed. Note however that forcing all </w:t>
      </w:r>
      <w:proofErr w:type="spellStart"/>
      <w:r>
        <w:t>RedCap</w:t>
      </w:r>
      <w:proofErr w:type="spellEnd"/>
      <w:r>
        <w:t xml:space="preserve"> cells to support </w:t>
      </w:r>
      <w:proofErr w:type="spellStart"/>
      <w:r>
        <w:t>eDRX</w:t>
      </w:r>
      <w:proofErr w:type="spellEnd"/>
      <w:r>
        <w:t xml:space="preserve"> might limit deployment options.</w:t>
      </w:r>
    </w:p>
    <w:p w14:paraId="3D2C830E" w14:textId="77777777" w:rsidR="00EB4572" w:rsidRDefault="00EB4572" w:rsidP="00EB4572">
      <w:pPr>
        <w:spacing w:after="0"/>
        <w:rPr>
          <w:b/>
        </w:rPr>
      </w:pPr>
      <w:r w:rsidRPr="0003544F">
        <w:rPr>
          <w:b/>
        </w:rPr>
        <w:t>Proposal</w:t>
      </w:r>
      <w:r>
        <w:rPr>
          <w:b/>
        </w:rPr>
        <w:t xml:space="preserve"> 4</w:t>
      </w:r>
      <w:r w:rsidRPr="0003544F">
        <w:rPr>
          <w:b/>
        </w:rPr>
        <w:t xml:space="preserve">: </w:t>
      </w:r>
      <w:r>
        <w:rPr>
          <w:b/>
        </w:rPr>
        <w:t xml:space="preserve">RAN2 to select from one of the following options regarding the </w:t>
      </w:r>
      <w:proofErr w:type="spellStart"/>
      <w:r>
        <w:rPr>
          <w:b/>
        </w:rPr>
        <w:t>eDRX</w:t>
      </w:r>
      <w:proofErr w:type="spellEnd"/>
      <w:r>
        <w:rPr>
          <w:b/>
        </w:rPr>
        <w:t xml:space="preserve"> support in a </w:t>
      </w:r>
      <w:proofErr w:type="spellStart"/>
      <w:r>
        <w:rPr>
          <w:b/>
        </w:rPr>
        <w:t>RedCap</w:t>
      </w:r>
      <w:proofErr w:type="spellEnd"/>
      <w:r>
        <w:rPr>
          <w:b/>
        </w:rPr>
        <w:t xml:space="preserve"> cell:</w:t>
      </w:r>
    </w:p>
    <w:p w14:paraId="6FAC850D" w14:textId="77777777" w:rsidR="00EB4572" w:rsidRPr="00DC7B11" w:rsidRDefault="00EB4572" w:rsidP="00EB4572">
      <w:pPr>
        <w:pStyle w:val="ListParagraph"/>
        <w:numPr>
          <w:ilvl w:val="0"/>
          <w:numId w:val="32"/>
        </w:numPr>
        <w:spacing w:after="0"/>
        <w:rPr>
          <w:b/>
        </w:rPr>
      </w:pPr>
      <w:r w:rsidRPr="00DC7B11">
        <w:rPr>
          <w:b/>
        </w:rPr>
        <w:t xml:space="preserve">Not all </w:t>
      </w:r>
      <w:proofErr w:type="spellStart"/>
      <w:r w:rsidRPr="00DC7B11">
        <w:rPr>
          <w:b/>
        </w:rPr>
        <w:t>RedCap</w:t>
      </w:r>
      <w:proofErr w:type="spellEnd"/>
      <w:r w:rsidRPr="00DC7B11">
        <w:rPr>
          <w:b/>
        </w:rPr>
        <w:t xml:space="preserve"> cells support </w:t>
      </w:r>
      <w:proofErr w:type="spellStart"/>
      <w:r w:rsidRPr="00DC7B11">
        <w:rPr>
          <w:b/>
        </w:rPr>
        <w:t>eDRX</w:t>
      </w:r>
      <w:proofErr w:type="spellEnd"/>
      <w:r w:rsidRPr="00DC7B11">
        <w:rPr>
          <w:b/>
        </w:rPr>
        <w:t xml:space="preserve"> operation and if supported it is indicated by a flag (e.g. </w:t>
      </w:r>
      <w:proofErr w:type="spellStart"/>
      <w:r w:rsidRPr="00DC7B11">
        <w:rPr>
          <w:b/>
        </w:rPr>
        <w:t>eDRX</w:t>
      </w:r>
      <w:proofErr w:type="spellEnd"/>
      <w:r w:rsidRPr="00DC7B11">
        <w:rPr>
          <w:b/>
        </w:rPr>
        <w:t xml:space="preserve">-Allowed) in SIB1. When the UE moves to a cell that does not support </w:t>
      </w:r>
      <w:proofErr w:type="spellStart"/>
      <w:r w:rsidRPr="00DC7B11">
        <w:rPr>
          <w:b/>
        </w:rPr>
        <w:t>eDRX</w:t>
      </w:r>
      <w:proofErr w:type="spellEnd"/>
      <w:r w:rsidRPr="00DC7B11">
        <w:rPr>
          <w:b/>
        </w:rPr>
        <w:t xml:space="preserve">, it stops the </w:t>
      </w:r>
      <w:proofErr w:type="spellStart"/>
      <w:r w:rsidRPr="00DC7B11">
        <w:rPr>
          <w:b/>
        </w:rPr>
        <w:t>eDRX</w:t>
      </w:r>
      <w:proofErr w:type="spellEnd"/>
      <w:r w:rsidRPr="00DC7B11">
        <w:rPr>
          <w:b/>
        </w:rPr>
        <w:t xml:space="preserve"> operation.</w:t>
      </w:r>
    </w:p>
    <w:p w14:paraId="4879432D" w14:textId="77777777" w:rsidR="00EB4572" w:rsidRPr="00DC7B11" w:rsidRDefault="00EB4572" w:rsidP="00EB4572">
      <w:pPr>
        <w:pStyle w:val="ListParagraph"/>
        <w:numPr>
          <w:ilvl w:val="0"/>
          <w:numId w:val="32"/>
        </w:numPr>
        <w:spacing w:after="0"/>
        <w:rPr>
          <w:b/>
        </w:rPr>
      </w:pPr>
      <w:r>
        <w:rPr>
          <w:b/>
        </w:rPr>
        <w:t xml:space="preserve">All </w:t>
      </w:r>
      <w:proofErr w:type="spellStart"/>
      <w:r>
        <w:rPr>
          <w:b/>
        </w:rPr>
        <w:t>RedCap</w:t>
      </w:r>
      <w:proofErr w:type="spellEnd"/>
      <w:r>
        <w:rPr>
          <w:b/>
        </w:rPr>
        <w:t xml:space="preserve"> cells support </w:t>
      </w:r>
      <w:proofErr w:type="spellStart"/>
      <w:r>
        <w:rPr>
          <w:b/>
        </w:rPr>
        <w:t>eDRX</w:t>
      </w:r>
      <w:proofErr w:type="spellEnd"/>
      <w:r>
        <w:rPr>
          <w:b/>
        </w:rPr>
        <w:t xml:space="preserve"> operation (no </w:t>
      </w:r>
      <w:proofErr w:type="spellStart"/>
      <w:r>
        <w:rPr>
          <w:b/>
        </w:rPr>
        <w:t>eDRX</w:t>
      </w:r>
      <w:proofErr w:type="spellEnd"/>
      <w:r>
        <w:rPr>
          <w:b/>
        </w:rPr>
        <w:t xml:space="preserve"> allowed flag is needed in system information).</w:t>
      </w:r>
    </w:p>
    <w:p w14:paraId="7F9C2388" w14:textId="77777777" w:rsidR="001F19D3" w:rsidRDefault="001F19D3" w:rsidP="0052116F"/>
    <w:p w14:paraId="78D313C2" w14:textId="78381F83" w:rsidR="0031708C" w:rsidRDefault="0031708C" w:rsidP="0031708C">
      <w:pPr>
        <w:pStyle w:val="Heading2"/>
      </w:pPr>
      <w:r>
        <w:t>2.3</w:t>
      </w:r>
      <w:r>
        <w:rPr>
          <w:b/>
        </w:rPr>
        <w:t xml:space="preserve"> </w:t>
      </w:r>
      <w:r w:rsidRPr="0031708C">
        <w:t>RRC_IDLE/INACTIVE</w:t>
      </w:r>
      <w:r>
        <w:rPr>
          <w:b/>
        </w:rPr>
        <w:t xml:space="preserve"> </w:t>
      </w:r>
      <w:r>
        <w:t>configurations</w:t>
      </w:r>
    </w:p>
    <w:p w14:paraId="69F50BD0" w14:textId="07B9E872" w:rsidR="0031708C" w:rsidRDefault="0031708C" w:rsidP="0052116F">
      <w:r>
        <w:t xml:space="preserve">It is already agreed in RAN#113bis-e meeting that the </w:t>
      </w:r>
      <w:proofErr w:type="spellStart"/>
      <w:r>
        <w:t>eDRX</w:t>
      </w:r>
      <w:proofErr w:type="spellEnd"/>
      <w:r>
        <w:t xml:space="preserve"> cycle for RRC_IDLE and RRC_INACTIVE can be different </w:t>
      </w:r>
      <w:r>
        <w:fldChar w:fldCharType="begin"/>
      </w:r>
      <w:r>
        <w:instrText xml:space="preserve"> REF _Ref71031640 \r \h </w:instrText>
      </w:r>
      <w:r>
        <w:fldChar w:fldCharType="separate"/>
      </w:r>
      <w:r>
        <w:t>[1]</w:t>
      </w:r>
      <w:r>
        <w:fldChar w:fldCharType="end"/>
      </w:r>
      <w:r>
        <w:t xml:space="preserve">. However, whether the PTW length and starting point (when </w:t>
      </w:r>
      <w:proofErr w:type="spellStart"/>
      <w:r>
        <w:t>eDRX</w:t>
      </w:r>
      <w:proofErr w:type="spellEnd"/>
      <w:r>
        <w:t xml:space="preserve"> cycle is &gt; 10.24 s) for RRC_IDLE and RRC_INACTIVE can be different or not is still under discussion.</w:t>
      </w:r>
    </w:p>
    <w:p w14:paraId="2D99532F" w14:textId="0962FEB0" w:rsidR="0031708C" w:rsidRDefault="00D314D1" w:rsidP="0052116F">
      <w:r>
        <w:t>If the</w:t>
      </w:r>
      <w:r w:rsidR="00F927C2">
        <w:t xml:space="preserve"> difference between the</w:t>
      </w:r>
      <w:r>
        <w:t xml:space="preserve"> </w:t>
      </w:r>
      <w:proofErr w:type="spellStart"/>
      <w:r>
        <w:t>eDRX</w:t>
      </w:r>
      <w:proofErr w:type="spellEnd"/>
      <w:r>
        <w:t xml:space="preserve"> cycle for IDLE and INACTIVE </w:t>
      </w:r>
      <w:r w:rsidR="00F927C2">
        <w:t>is large</w:t>
      </w:r>
      <w:r>
        <w:t xml:space="preserve">, then </w:t>
      </w:r>
      <w:r w:rsidR="00F927C2">
        <w:t>it may be difficult to use the same PTW length value for both.</w:t>
      </w:r>
      <w:r w:rsidR="00F927C2" w:rsidRPr="00F927C2">
        <w:t xml:space="preserve"> </w:t>
      </w:r>
      <w:r w:rsidR="00F927C2">
        <w:t xml:space="preserve">For example when </w:t>
      </w:r>
      <w:proofErr w:type="spellStart"/>
      <w:r w:rsidR="00F927C2">
        <w:t>eDRX</w:t>
      </w:r>
      <w:proofErr w:type="spellEnd"/>
      <w:r w:rsidR="00F927C2">
        <w:t xml:space="preserve"> cycle of 2621.44 s is configured for IDLE and 20.48 s configured for INACTIVE, the PTW length values</w:t>
      </w:r>
      <w:r>
        <w:t xml:space="preserve"> that are &gt;= 20.48 s cannot be used for INACTIVE</w:t>
      </w:r>
      <w:r w:rsidR="00F927C2">
        <w:t>, although they can be used for IDLE</w:t>
      </w:r>
      <w:r>
        <w:t>. In this case, it does not make sense to force the same PTW length for IDLE and INACTIVE. It could be best to leave this decision to network, i.e. enable separate configurations for IDLE and INACTIVE.</w:t>
      </w:r>
    </w:p>
    <w:p w14:paraId="6565FAED" w14:textId="3CE89F4A" w:rsidR="00D314D1" w:rsidRPr="00D314D1" w:rsidRDefault="00DC7B11" w:rsidP="0052116F">
      <w:pPr>
        <w:rPr>
          <w:b/>
        </w:rPr>
      </w:pPr>
      <w:r>
        <w:rPr>
          <w:b/>
        </w:rPr>
        <w:t>Proposal 5</w:t>
      </w:r>
      <w:r w:rsidR="00D314D1" w:rsidRPr="00D314D1">
        <w:rPr>
          <w:b/>
        </w:rPr>
        <w:t>: Different PTW length values can be configured for RRC_IDLE and RRC_INACTIVE.</w:t>
      </w:r>
    </w:p>
    <w:p w14:paraId="6E5D50F0" w14:textId="77777777" w:rsidR="00D314D1" w:rsidRDefault="00D314D1" w:rsidP="0052116F"/>
    <w:p w14:paraId="789D3F78" w14:textId="34001D1F" w:rsidR="00D314D1" w:rsidRDefault="00D314D1" w:rsidP="0052116F">
      <w:r>
        <w:t xml:space="preserve">If the </w:t>
      </w:r>
      <w:proofErr w:type="spellStart"/>
      <w:r>
        <w:t>PTW_start</w:t>
      </w:r>
      <w:proofErr w:type="spellEnd"/>
      <w:r>
        <w:t xml:space="preserve"> posi</w:t>
      </w:r>
      <w:r w:rsidR="00AC1BC1">
        <w:t>tions are configurable (as per O</w:t>
      </w:r>
      <w:r>
        <w:t xml:space="preserve">ption 1 in Proposal 2 above), then </w:t>
      </w:r>
      <w:r w:rsidR="007B2D01">
        <w:t xml:space="preserve">it can </w:t>
      </w:r>
      <w:r w:rsidR="00AC1BC1">
        <w:t xml:space="preserve">similarly </w:t>
      </w:r>
      <w:r w:rsidR="007B2D01">
        <w:t xml:space="preserve">be argued that </w:t>
      </w:r>
      <w:r w:rsidR="00AC1BC1">
        <w:t xml:space="preserve">it should be possible to configure </w:t>
      </w:r>
      <w:r w:rsidR="007B2D01">
        <w:t>different values for IDLE and INACTIVE</w:t>
      </w:r>
      <w:r>
        <w:t xml:space="preserve">. However, if the </w:t>
      </w:r>
      <w:proofErr w:type="spellStart"/>
      <w:r>
        <w:t>PTW_start</w:t>
      </w:r>
      <w:proofErr w:type="spellEnd"/>
      <w:r>
        <w:t xml:space="preserve"> positions are fixed, </w:t>
      </w:r>
      <w:r w:rsidR="004E693A">
        <w:t>there is not much value in having different fixed values for RRC_IDLE and RRC_INACTIVE, and t</w:t>
      </w:r>
      <w:r>
        <w:t xml:space="preserve">he same </w:t>
      </w:r>
      <w:r w:rsidR="007B2D01">
        <w:t>value</w:t>
      </w:r>
      <w:r>
        <w:t xml:space="preserve"> could be used for both IDLE and INACTIVE, i.e. </w:t>
      </w:r>
      <w:r w:rsidR="00AA2007">
        <w:t xml:space="preserve">multiples of </w:t>
      </w:r>
      <w:r>
        <w:t>either 256 or 128 SFNs.</w:t>
      </w:r>
    </w:p>
    <w:p w14:paraId="02CD04B4" w14:textId="7EE49FB7" w:rsidR="00EB4572" w:rsidRDefault="00EB4572" w:rsidP="00EB4572">
      <w:pPr>
        <w:spacing w:after="0"/>
        <w:rPr>
          <w:b/>
        </w:rPr>
      </w:pPr>
      <w:r>
        <w:rPr>
          <w:b/>
        </w:rPr>
        <w:t>Proposal 6</w:t>
      </w:r>
      <w:r w:rsidRPr="00D314D1">
        <w:rPr>
          <w:b/>
        </w:rPr>
        <w:t xml:space="preserve">: </w:t>
      </w:r>
      <w:r>
        <w:rPr>
          <w:b/>
        </w:rPr>
        <w:t>For the PTW start positions in RRC_IDLE and RRC_INACTIVE, RAN2 to consider one of the following options:</w:t>
      </w:r>
    </w:p>
    <w:p w14:paraId="0E3A1DB9" w14:textId="77777777" w:rsidR="00EB4572" w:rsidRDefault="00EB4572" w:rsidP="00EB4572">
      <w:pPr>
        <w:pStyle w:val="ListParagraph"/>
        <w:numPr>
          <w:ilvl w:val="0"/>
          <w:numId w:val="33"/>
        </w:numPr>
        <w:spacing w:after="0"/>
        <w:rPr>
          <w:b/>
        </w:rPr>
      </w:pPr>
      <w:r w:rsidRPr="00D314D1">
        <w:rPr>
          <w:b/>
        </w:rPr>
        <w:t xml:space="preserve">If the </w:t>
      </w:r>
      <w:proofErr w:type="spellStart"/>
      <w:r w:rsidRPr="00D314D1">
        <w:rPr>
          <w:b/>
        </w:rPr>
        <w:t>PTW_start</w:t>
      </w:r>
      <w:proofErr w:type="spellEnd"/>
      <w:r w:rsidRPr="00D314D1">
        <w:rPr>
          <w:b/>
        </w:rPr>
        <w:t xml:space="preserve"> positions are configurable by the network, different values can be configured for RRC_IDLE and RRC_INACTIVE.</w:t>
      </w:r>
    </w:p>
    <w:p w14:paraId="6692FBC1" w14:textId="77777777" w:rsidR="00EB4572" w:rsidRPr="00D314D1" w:rsidRDefault="00EB4572" w:rsidP="00EB4572">
      <w:pPr>
        <w:pStyle w:val="ListParagraph"/>
        <w:numPr>
          <w:ilvl w:val="0"/>
          <w:numId w:val="33"/>
        </w:numPr>
        <w:spacing w:after="0"/>
        <w:rPr>
          <w:b/>
        </w:rPr>
      </w:pPr>
      <w:r w:rsidRPr="00D314D1">
        <w:rPr>
          <w:b/>
        </w:rPr>
        <w:lastRenderedPageBreak/>
        <w:t xml:space="preserve">If the </w:t>
      </w:r>
      <w:proofErr w:type="spellStart"/>
      <w:r w:rsidRPr="00D314D1">
        <w:rPr>
          <w:b/>
        </w:rPr>
        <w:t>PTW_start</w:t>
      </w:r>
      <w:proofErr w:type="spellEnd"/>
      <w:r w:rsidRPr="00D314D1">
        <w:rPr>
          <w:b/>
        </w:rPr>
        <w:t xml:space="preserve"> positions are fixed in the specifications (e.g. </w:t>
      </w:r>
      <w:r>
        <w:rPr>
          <w:b/>
        </w:rPr>
        <w:t xml:space="preserve">multiples of </w:t>
      </w:r>
      <w:r w:rsidRPr="00D314D1">
        <w:rPr>
          <w:b/>
        </w:rPr>
        <w:t>256 or 128 SFNs), the same value applies to RRC_IDLE and RRC_INACTIVE.</w:t>
      </w:r>
    </w:p>
    <w:p w14:paraId="780F0EFF" w14:textId="77777777" w:rsidR="0031708C" w:rsidRPr="0052116F" w:rsidRDefault="0031708C" w:rsidP="0052116F"/>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35E9BA00" w:rsidR="00AC7D8C" w:rsidRPr="002361BE" w:rsidRDefault="002361BE" w:rsidP="00B166DB">
      <w:r w:rsidRPr="002361BE">
        <w:t xml:space="preserve">In this contribution, we discuss </w:t>
      </w:r>
      <w:r w:rsidR="0052673B">
        <w:t>some remaining issues</w:t>
      </w:r>
      <w:r w:rsidRPr="002361BE">
        <w:t xml:space="preserve"> for </w:t>
      </w:r>
      <w:r w:rsidR="0052673B">
        <w:t xml:space="preserve">supporting </w:t>
      </w:r>
      <w:proofErr w:type="spellStart"/>
      <w:r w:rsidRPr="002361BE">
        <w:t>eDRX</w:t>
      </w:r>
      <w:proofErr w:type="spellEnd"/>
      <w:r w:rsidR="005B0646">
        <w:t xml:space="preserve"> </w:t>
      </w:r>
      <w:r w:rsidRPr="002361BE">
        <w:t xml:space="preserve">in </w:t>
      </w:r>
      <w:proofErr w:type="spellStart"/>
      <w:r w:rsidRPr="002361BE">
        <w:t>RedCap</w:t>
      </w:r>
      <w:proofErr w:type="spellEnd"/>
      <w:r w:rsidRPr="002361BE">
        <w:t xml:space="preserve"> and have the following proposals:</w:t>
      </w:r>
    </w:p>
    <w:p w14:paraId="79F5D6F9" w14:textId="058C8AFA" w:rsidR="00DC7B11" w:rsidRPr="00DD1119" w:rsidRDefault="00DC7B11" w:rsidP="00DC7B11">
      <w:pPr>
        <w:rPr>
          <w:b/>
        </w:rPr>
      </w:pPr>
      <w:r w:rsidRPr="000A79DF">
        <w:rPr>
          <w:b/>
        </w:rPr>
        <w:t>Proposal</w:t>
      </w:r>
      <w:r>
        <w:rPr>
          <w:b/>
        </w:rPr>
        <w:t xml:space="preserve"> 1</w:t>
      </w:r>
      <w:r w:rsidRPr="000A79DF">
        <w:rPr>
          <w:b/>
        </w:rPr>
        <w:t xml:space="preserve">: The minimum and maximum PTW length </w:t>
      </w:r>
      <w:r w:rsidR="00525494">
        <w:rPr>
          <w:b/>
        </w:rPr>
        <w:t xml:space="preserve">values in </w:t>
      </w:r>
      <w:proofErr w:type="spellStart"/>
      <w:r w:rsidR="00525494">
        <w:rPr>
          <w:b/>
        </w:rPr>
        <w:t>RedCap</w:t>
      </w:r>
      <w:proofErr w:type="spellEnd"/>
      <w:r w:rsidR="00525494">
        <w:rPr>
          <w:b/>
        </w:rPr>
        <w:t xml:space="preserve"> are</w:t>
      </w:r>
      <w:r w:rsidRPr="000A79DF">
        <w:rPr>
          <w:b/>
        </w:rPr>
        <w:t xml:space="preserve"> 1.28 s and 40.96 s respectively. </w:t>
      </w:r>
      <w:r w:rsidR="00525494">
        <w:rPr>
          <w:b/>
        </w:rPr>
        <w:t>Other</w:t>
      </w:r>
      <w:r w:rsidRPr="000A79DF">
        <w:rPr>
          <w:b/>
        </w:rPr>
        <w:t xml:space="preserve"> values within this range are FFS.</w:t>
      </w:r>
    </w:p>
    <w:p w14:paraId="67467B03" w14:textId="77777777" w:rsidR="00DC7B11" w:rsidRDefault="00DC7B11" w:rsidP="00DC7B11">
      <w:pPr>
        <w:spacing w:after="0"/>
        <w:rPr>
          <w:b/>
        </w:rPr>
      </w:pPr>
      <w:r w:rsidRPr="000A79DF">
        <w:rPr>
          <w:b/>
        </w:rPr>
        <w:t>Proposal</w:t>
      </w:r>
      <w:r>
        <w:rPr>
          <w:b/>
        </w:rPr>
        <w:t xml:space="preserve"> 2</w:t>
      </w:r>
      <w:r w:rsidRPr="000A79DF">
        <w:rPr>
          <w:b/>
        </w:rPr>
        <w:t xml:space="preserve">: </w:t>
      </w:r>
      <w:r>
        <w:rPr>
          <w:b/>
        </w:rPr>
        <w:t xml:space="preserve">RAN2 to select from the following options regarding the </w:t>
      </w:r>
      <w:proofErr w:type="spellStart"/>
      <w:r>
        <w:rPr>
          <w:b/>
        </w:rPr>
        <w:t>PTW_start</w:t>
      </w:r>
      <w:proofErr w:type="spellEnd"/>
      <w:r>
        <w:rPr>
          <w:b/>
        </w:rPr>
        <w:t xml:space="preserve"> positions:</w:t>
      </w:r>
    </w:p>
    <w:p w14:paraId="15EA078C" w14:textId="77777777" w:rsidR="00DC7B11" w:rsidRDefault="00DC7B11" w:rsidP="00DC7B11">
      <w:pPr>
        <w:pStyle w:val="ListParagraph"/>
        <w:numPr>
          <w:ilvl w:val="0"/>
          <w:numId w:val="29"/>
        </w:numPr>
        <w:spacing w:after="0"/>
        <w:rPr>
          <w:b/>
        </w:rPr>
      </w:pPr>
      <w:r>
        <w:rPr>
          <w:b/>
        </w:rPr>
        <w:t>Configurable</w:t>
      </w:r>
      <w:r w:rsidRPr="000A79DF">
        <w:rPr>
          <w:b/>
        </w:rPr>
        <w:t xml:space="preserve"> by the network (i.e. not fixed to</w:t>
      </w:r>
      <w:r>
        <w:rPr>
          <w:b/>
        </w:rPr>
        <w:t xml:space="preserve"> multiples of 256 SFNs as in LTE)</w:t>
      </w:r>
    </w:p>
    <w:p w14:paraId="4E303716" w14:textId="77777777" w:rsidR="00DC7B11" w:rsidRDefault="00DC7B11" w:rsidP="00DC7B11">
      <w:pPr>
        <w:pStyle w:val="ListParagraph"/>
        <w:numPr>
          <w:ilvl w:val="0"/>
          <w:numId w:val="29"/>
        </w:numPr>
        <w:spacing w:after="0"/>
        <w:rPr>
          <w:b/>
        </w:rPr>
      </w:pPr>
      <w:r w:rsidRPr="00DC7B11">
        <w:rPr>
          <w:b/>
        </w:rPr>
        <w:t>Fixed to multiples of 128 SFNs.</w:t>
      </w:r>
    </w:p>
    <w:p w14:paraId="2ABE2DCC" w14:textId="77777777" w:rsidR="00DC7B11" w:rsidRPr="00DC7B11" w:rsidRDefault="00DC7B11" w:rsidP="00DC7B11">
      <w:pPr>
        <w:pStyle w:val="ListParagraph"/>
        <w:numPr>
          <w:ilvl w:val="0"/>
          <w:numId w:val="29"/>
        </w:numPr>
        <w:spacing w:after="0"/>
        <w:rPr>
          <w:b/>
        </w:rPr>
      </w:pPr>
      <w:r w:rsidRPr="00DC7B11">
        <w:rPr>
          <w:b/>
        </w:rPr>
        <w:t>Fixed to multiples of 256 SFNs as in LTE (at a potential cost of gaps between PTWs).</w:t>
      </w:r>
    </w:p>
    <w:p w14:paraId="7BAB7AD6" w14:textId="77777777" w:rsidR="00DC7B11" w:rsidRDefault="00DC7B11" w:rsidP="00DC7B11">
      <w:pPr>
        <w:rPr>
          <w:b/>
        </w:rPr>
      </w:pPr>
    </w:p>
    <w:p w14:paraId="534567C0" w14:textId="77777777" w:rsidR="00DC7B11" w:rsidRDefault="00DC7B11" w:rsidP="00DC7B11">
      <w:pPr>
        <w:rPr>
          <w:b/>
        </w:rPr>
      </w:pPr>
      <w:r>
        <w:rPr>
          <w:b/>
        </w:rPr>
        <w:t>Proposal 3: The H</w:t>
      </w:r>
      <w:r w:rsidRPr="0089195E">
        <w:rPr>
          <w:b/>
        </w:rPr>
        <w:t xml:space="preserve">ashed UE ID </w:t>
      </w:r>
      <w:r>
        <w:rPr>
          <w:b/>
        </w:rPr>
        <w:t xml:space="preserve">calculation </w:t>
      </w:r>
      <w:r w:rsidRPr="0089195E">
        <w:rPr>
          <w:b/>
        </w:rPr>
        <w:t xml:space="preserve">from LTE </w:t>
      </w:r>
      <w:r>
        <w:rPr>
          <w:b/>
        </w:rPr>
        <w:t>(TS 36.304) is re-used in</w:t>
      </w:r>
      <w:r w:rsidRPr="0089195E">
        <w:rPr>
          <w:b/>
        </w:rPr>
        <w:t xml:space="preserve"> </w:t>
      </w:r>
      <w:proofErr w:type="spellStart"/>
      <w:r w:rsidRPr="0089195E">
        <w:rPr>
          <w:b/>
        </w:rPr>
        <w:t>eDRX</w:t>
      </w:r>
      <w:proofErr w:type="spellEnd"/>
      <w:r w:rsidRPr="0089195E">
        <w:rPr>
          <w:b/>
        </w:rPr>
        <w:t xml:space="preserve"> </w:t>
      </w:r>
      <w:r>
        <w:rPr>
          <w:b/>
        </w:rPr>
        <w:t>calculations</w:t>
      </w:r>
      <w:r w:rsidRPr="0089195E">
        <w:rPr>
          <w:b/>
        </w:rPr>
        <w:t>.</w:t>
      </w:r>
    </w:p>
    <w:p w14:paraId="75C49B1D" w14:textId="35790226" w:rsidR="00DC7B11" w:rsidRDefault="00DC7B11" w:rsidP="00DC7B11">
      <w:pPr>
        <w:spacing w:after="0"/>
        <w:rPr>
          <w:b/>
        </w:rPr>
      </w:pPr>
      <w:r w:rsidRPr="0003544F">
        <w:rPr>
          <w:b/>
        </w:rPr>
        <w:t>Proposal</w:t>
      </w:r>
      <w:r>
        <w:rPr>
          <w:b/>
        </w:rPr>
        <w:t xml:space="preserve"> 4</w:t>
      </w:r>
      <w:r w:rsidRPr="0003544F">
        <w:rPr>
          <w:b/>
        </w:rPr>
        <w:t xml:space="preserve">: </w:t>
      </w:r>
      <w:r>
        <w:rPr>
          <w:b/>
        </w:rPr>
        <w:t>RAN2 to select from one of the</w:t>
      </w:r>
      <w:r w:rsidR="00EB4572">
        <w:rPr>
          <w:b/>
        </w:rPr>
        <w:t xml:space="preserve"> following</w:t>
      </w:r>
      <w:r>
        <w:rPr>
          <w:b/>
        </w:rPr>
        <w:t xml:space="preserve"> options</w:t>
      </w:r>
      <w:r w:rsidR="00EB4572">
        <w:rPr>
          <w:b/>
        </w:rPr>
        <w:t xml:space="preserve"> regarding the </w:t>
      </w:r>
      <w:proofErr w:type="spellStart"/>
      <w:r w:rsidR="00EB4572">
        <w:rPr>
          <w:b/>
        </w:rPr>
        <w:t>eDRX</w:t>
      </w:r>
      <w:proofErr w:type="spellEnd"/>
      <w:r w:rsidR="00EB4572">
        <w:rPr>
          <w:b/>
        </w:rPr>
        <w:t xml:space="preserve"> support in a </w:t>
      </w:r>
      <w:proofErr w:type="spellStart"/>
      <w:r w:rsidR="00EB4572">
        <w:rPr>
          <w:b/>
        </w:rPr>
        <w:t>RedCap</w:t>
      </w:r>
      <w:proofErr w:type="spellEnd"/>
      <w:r w:rsidR="00EB4572">
        <w:rPr>
          <w:b/>
        </w:rPr>
        <w:t xml:space="preserve"> cell</w:t>
      </w:r>
      <w:r>
        <w:rPr>
          <w:b/>
        </w:rPr>
        <w:t>:</w:t>
      </w:r>
    </w:p>
    <w:p w14:paraId="127F9AEE" w14:textId="77777777" w:rsidR="00DC7B11" w:rsidRPr="00DC7B11" w:rsidRDefault="00DC7B11" w:rsidP="00DC7B11">
      <w:pPr>
        <w:pStyle w:val="ListParagraph"/>
        <w:numPr>
          <w:ilvl w:val="0"/>
          <w:numId w:val="32"/>
        </w:numPr>
        <w:spacing w:after="0"/>
        <w:rPr>
          <w:b/>
        </w:rPr>
      </w:pPr>
      <w:r w:rsidRPr="00DC7B11">
        <w:rPr>
          <w:b/>
        </w:rPr>
        <w:t xml:space="preserve">Not all </w:t>
      </w:r>
      <w:proofErr w:type="spellStart"/>
      <w:r w:rsidRPr="00DC7B11">
        <w:rPr>
          <w:b/>
        </w:rPr>
        <w:t>RedCap</w:t>
      </w:r>
      <w:proofErr w:type="spellEnd"/>
      <w:r w:rsidRPr="00DC7B11">
        <w:rPr>
          <w:b/>
        </w:rPr>
        <w:t xml:space="preserve"> cells support </w:t>
      </w:r>
      <w:proofErr w:type="spellStart"/>
      <w:r w:rsidRPr="00DC7B11">
        <w:rPr>
          <w:b/>
        </w:rPr>
        <w:t>eDRX</w:t>
      </w:r>
      <w:proofErr w:type="spellEnd"/>
      <w:r w:rsidRPr="00DC7B11">
        <w:rPr>
          <w:b/>
        </w:rPr>
        <w:t xml:space="preserve"> operation and if supported it is indicated by a flag (e.g. </w:t>
      </w:r>
      <w:proofErr w:type="spellStart"/>
      <w:r w:rsidRPr="00DC7B11">
        <w:rPr>
          <w:b/>
        </w:rPr>
        <w:t>eDRX</w:t>
      </w:r>
      <w:proofErr w:type="spellEnd"/>
      <w:r w:rsidRPr="00DC7B11">
        <w:rPr>
          <w:b/>
        </w:rPr>
        <w:t xml:space="preserve">-Allowed) in SIB1. When the UE moves to a cell that does not support </w:t>
      </w:r>
      <w:proofErr w:type="spellStart"/>
      <w:r w:rsidRPr="00DC7B11">
        <w:rPr>
          <w:b/>
        </w:rPr>
        <w:t>eDRX</w:t>
      </w:r>
      <w:proofErr w:type="spellEnd"/>
      <w:r w:rsidRPr="00DC7B11">
        <w:rPr>
          <w:b/>
        </w:rPr>
        <w:t xml:space="preserve">, it stops the </w:t>
      </w:r>
      <w:proofErr w:type="spellStart"/>
      <w:r w:rsidRPr="00DC7B11">
        <w:rPr>
          <w:b/>
        </w:rPr>
        <w:t>eDRX</w:t>
      </w:r>
      <w:proofErr w:type="spellEnd"/>
      <w:r w:rsidRPr="00DC7B11">
        <w:rPr>
          <w:b/>
        </w:rPr>
        <w:t xml:space="preserve"> operation.</w:t>
      </w:r>
    </w:p>
    <w:p w14:paraId="6F927AF1" w14:textId="19E039F7" w:rsidR="00DC7B11" w:rsidRPr="00DC7B11" w:rsidRDefault="00DC7B11" w:rsidP="00DC7B11">
      <w:pPr>
        <w:pStyle w:val="ListParagraph"/>
        <w:numPr>
          <w:ilvl w:val="0"/>
          <w:numId w:val="32"/>
        </w:numPr>
        <w:spacing w:after="0"/>
        <w:rPr>
          <w:b/>
        </w:rPr>
      </w:pPr>
      <w:r>
        <w:rPr>
          <w:b/>
        </w:rPr>
        <w:t xml:space="preserve">All </w:t>
      </w:r>
      <w:proofErr w:type="spellStart"/>
      <w:r>
        <w:rPr>
          <w:b/>
        </w:rPr>
        <w:t>RedCap</w:t>
      </w:r>
      <w:proofErr w:type="spellEnd"/>
      <w:r>
        <w:rPr>
          <w:b/>
        </w:rPr>
        <w:t xml:space="preserve"> cell</w:t>
      </w:r>
      <w:r w:rsidR="00ED3C75">
        <w:rPr>
          <w:b/>
        </w:rPr>
        <w:t>s</w:t>
      </w:r>
      <w:r>
        <w:rPr>
          <w:b/>
        </w:rPr>
        <w:t xml:space="preserve"> support </w:t>
      </w:r>
      <w:proofErr w:type="spellStart"/>
      <w:r>
        <w:rPr>
          <w:b/>
        </w:rPr>
        <w:t>eDRX</w:t>
      </w:r>
      <w:proofErr w:type="spellEnd"/>
      <w:r>
        <w:rPr>
          <w:b/>
        </w:rPr>
        <w:t xml:space="preserve"> operation (no </w:t>
      </w:r>
      <w:proofErr w:type="spellStart"/>
      <w:r>
        <w:rPr>
          <w:b/>
        </w:rPr>
        <w:t>eDRX</w:t>
      </w:r>
      <w:proofErr w:type="spellEnd"/>
      <w:r>
        <w:rPr>
          <w:b/>
        </w:rPr>
        <w:t xml:space="preserve"> allowed flag is needed in system information).</w:t>
      </w:r>
    </w:p>
    <w:p w14:paraId="3A3E7280" w14:textId="77777777" w:rsidR="00DC7B11" w:rsidRDefault="00DC7B11" w:rsidP="00DC7B11">
      <w:pPr>
        <w:rPr>
          <w:b/>
        </w:rPr>
      </w:pPr>
    </w:p>
    <w:p w14:paraId="040DB8A0" w14:textId="77777777" w:rsidR="00DC7B11" w:rsidRPr="00D314D1" w:rsidRDefault="00DC7B11" w:rsidP="00DC7B11">
      <w:pPr>
        <w:rPr>
          <w:b/>
        </w:rPr>
      </w:pPr>
      <w:r>
        <w:rPr>
          <w:b/>
        </w:rPr>
        <w:t>Proposal 5</w:t>
      </w:r>
      <w:r w:rsidRPr="00D314D1">
        <w:rPr>
          <w:b/>
        </w:rPr>
        <w:t>: Different PTW length values can be configured for RRC_IDLE and RRC_INACTIVE.</w:t>
      </w:r>
    </w:p>
    <w:p w14:paraId="67BD86FB" w14:textId="2FD0F8C6" w:rsidR="00EB4572" w:rsidRDefault="00DC7B11" w:rsidP="00EB4572">
      <w:pPr>
        <w:spacing w:after="0"/>
        <w:rPr>
          <w:b/>
        </w:rPr>
      </w:pPr>
      <w:r>
        <w:rPr>
          <w:b/>
        </w:rPr>
        <w:t>Proposal 6</w:t>
      </w:r>
      <w:r w:rsidRPr="00D314D1">
        <w:rPr>
          <w:b/>
        </w:rPr>
        <w:t xml:space="preserve">: </w:t>
      </w:r>
      <w:r w:rsidR="00EB4572">
        <w:rPr>
          <w:b/>
        </w:rPr>
        <w:t>For the PTW start positions in RRC_IDLE and RRC_INACTIVE, RAN2 to consider one of the following options:</w:t>
      </w:r>
    </w:p>
    <w:p w14:paraId="0A3228BF" w14:textId="77777777" w:rsidR="00EB4572" w:rsidRDefault="00DC7B11" w:rsidP="00EB4572">
      <w:pPr>
        <w:pStyle w:val="ListParagraph"/>
        <w:numPr>
          <w:ilvl w:val="0"/>
          <w:numId w:val="33"/>
        </w:numPr>
        <w:spacing w:after="0"/>
        <w:rPr>
          <w:b/>
        </w:rPr>
      </w:pPr>
      <w:r w:rsidRPr="00D314D1">
        <w:rPr>
          <w:b/>
        </w:rPr>
        <w:t xml:space="preserve">If the </w:t>
      </w:r>
      <w:proofErr w:type="spellStart"/>
      <w:r w:rsidRPr="00D314D1">
        <w:rPr>
          <w:b/>
        </w:rPr>
        <w:t>PTW_start</w:t>
      </w:r>
      <w:proofErr w:type="spellEnd"/>
      <w:r w:rsidRPr="00D314D1">
        <w:rPr>
          <w:b/>
        </w:rPr>
        <w:t xml:space="preserve"> positions are configurable by the network, different values can be configured for RRC_IDLE and RRC_INACTIVE.</w:t>
      </w:r>
    </w:p>
    <w:p w14:paraId="5BF5A0B8" w14:textId="4151D4A5" w:rsidR="00DC7B11" w:rsidRPr="00D314D1" w:rsidRDefault="00DC7B11" w:rsidP="00EB4572">
      <w:pPr>
        <w:pStyle w:val="ListParagraph"/>
        <w:numPr>
          <w:ilvl w:val="0"/>
          <w:numId w:val="33"/>
        </w:numPr>
        <w:spacing w:after="0"/>
        <w:rPr>
          <w:b/>
        </w:rPr>
      </w:pPr>
      <w:r w:rsidRPr="00D314D1">
        <w:rPr>
          <w:b/>
        </w:rPr>
        <w:t xml:space="preserve">If the </w:t>
      </w:r>
      <w:proofErr w:type="spellStart"/>
      <w:r w:rsidRPr="00D314D1">
        <w:rPr>
          <w:b/>
        </w:rPr>
        <w:t>PTW_start</w:t>
      </w:r>
      <w:proofErr w:type="spellEnd"/>
      <w:r w:rsidRPr="00D314D1">
        <w:rPr>
          <w:b/>
        </w:rPr>
        <w:t xml:space="preserve"> positions are fixed in the specifications (e.g. </w:t>
      </w:r>
      <w:r>
        <w:rPr>
          <w:b/>
        </w:rPr>
        <w:t xml:space="preserve">multiples of </w:t>
      </w:r>
      <w:r w:rsidRPr="00D314D1">
        <w:rPr>
          <w:b/>
        </w:rPr>
        <w:t>256 or 128 SFNs), the same value applies to RRC_IDLE and RRC_INACTIVE.</w:t>
      </w:r>
    </w:p>
    <w:p w14:paraId="0887D89B" w14:textId="77777777" w:rsidR="00775E10" w:rsidRPr="00AC7D8C" w:rsidRDefault="00775E10"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2D5F570B" w14:textId="77777777" w:rsidR="0031708C" w:rsidRDefault="0031708C" w:rsidP="0031708C">
      <w:pPr>
        <w:pStyle w:val="ListParagraph"/>
        <w:numPr>
          <w:ilvl w:val="0"/>
          <w:numId w:val="1"/>
        </w:numPr>
        <w:overflowPunct/>
        <w:autoSpaceDE/>
        <w:autoSpaceDN/>
        <w:adjustRightInd/>
        <w:spacing w:after="60"/>
        <w:contextualSpacing w:val="0"/>
        <w:textAlignment w:val="auto"/>
      </w:pPr>
      <w:bookmarkStart w:id="8" w:name="_Ref71031640"/>
      <w:bookmarkStart w:id="9" w:name="_Ref68009589"/>
      <w:bookmarkStart w:id="10" w:name="_Ref53496525"/>
      <w:r w:rsidRPr="0031708C">
        <w:t>Draft_R2-113bis-e_Meeting_Report_v1</w:t>
      </w:r>
      <w:bookmarkEnd w:id="8"/>
    </w:p>
    <w:p w14:paraId="49D8481B" w14:textId="77777777" w:rsidR="0031708C" w:rsidRDefault="00DD1119" w:rsidP="0031708C">
      <w:pPr>
        <w:pStyle w:val="ListParagraph"/>
        <w:numPr>
          <w:ilvl w:val="0"/>
          <w:numId w:val="1"/>
        </w:numPr>
        <w:overflowPunct/>
        <w:autoSpaceDE/>
        <w:autoSpaceDN/>
        <w:adjustRightInd/>
        <w:spacing w:after="60"/>
        <w:contextualSpacing w:val="0"/>
        <w:textAlignment w:val="auto"/>
      </w:pPr>
      <w:bookmarkStart w:id="11" w:name="_Ref71031652"/>
      <w:r>
        <w:t xml:space="preserve">TR 38.875 - </w:t>
      </w:r>
      <w:r w:rsidRPr="00DD1119">
        <w:t>Study on support of reduced capability NR devices</w:t>
      </w:r>
      <w:bookmarkStart w:id="12" w:name="_Ref68008061"/>
      <w:bookmarkEnd w:id="9"/>
      <w:bookmarkEnd w:id="11"/>
    </w:p>
    <w:p w14:paraId="0AE61872" w14:textId="09530196" w:rsidR="00F442B3" w:rsidRDefault="00A97BE5" w:rsidP="0031708C">
      <w:pPr>
        <w:pStyle w:val="ListParagraph"/>
        <w:numPr>
          <w:ilvl w:val="0"/>
          <w:numId w:val="1"/>
        </w:numPr>
        <w:overflowPunct/>
        <w:autoSpaceDE/>
        <w:autoSpaceDN/>
        <w:adjustRightInd/>
        <w:spacing w:after="60"/>
        <w:contextualSpacing w:val="0"/>
        <w:textAlignment w:val="auto"/>
      </w:pPr>
      <w:bookmarkStart w:id="13" w:name="_Ref71031660"/>
      <w:r>
        <w:t xml:space="preserve">TS 36.304 </w:t>
      </w:r>
      <w:r w:rsidRPr="00244A78">
        <w:t>User Equipment (UE) procedures in idle mode</w:t>
      </w:r>
      <w:bookmarkEnd w:id="10"/>
      <w:bookmarkEnd w:id="12"/>
      <w:bookmarkEnd w:id="13"/>
    </w:p>
    <w:p w14:paraId="56801C11" w14:textId="77777777" w:rsidR="00F442B3" w:rsidRDefault="00F442B3" w:rsidP="00F442B3">
      <w:pPr>
        <w:overflowPunct/>
        <w:autoSpaceDE/>
        <w:autoSpaceDN/>
        <w:adjustRightInd/>
        <w:spacing w:after="60"/>
        <w:textAlignment w:val="auto"/>
      </w:pPr>
    </w:p>
    <w:sectPr w:rsidR="00F442B3"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DBFEE" w14:textId="77777777" w:rsidR="00665A08" w:rsidRDefault="00665A08" w:rsidP="00BD754F">
      <w:pPr>
        <w:spacing w:after="0"/>
      </w:pPr>
      <w:r>
        <w:separator/>
      </w:r>
    </w:p>
  </w:endnote>
  <w:endnote w:type="continuationSeparator" w:id="0">
    <w:p w14:paraId="38639469" w14:textId="77777777" w:rsidR="00665A08" w:rsidRDefault="00665A0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124A" w14:textId="77777777" w:rsidR="000718E5" w:rsidRDefault="00071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02DB1" w14:textId="77777777" w:rsidR="000718E5" w:rsidRDefault="00071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27483" w14:textId="77777777" w:rsidR="000718E5" w:rsidRDefault="00071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873FD" w14:textId="77777777" w:rsidR="00665A08" w:rsidRDefault="00665A08" w:rsidP="00BD754F">
      <w:pPr>
        <w:spacing w:after="0"/>
      </w:pPr>
      <w:r>
        <w:separator/>
      </w:r>
    </w:p>
  </w:footnote>
  <w:footnote w:type="continuationSeparator" w:id="0">
    <w:p w14:paraId="0B519A55" w14:textId="77777777" w:rsidR="00665A08" w:rsidRDefault="00665A08"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F1220" w14:textId="77777777" w:rsidR="000718E5" w:rsidRDefault="00071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F97A6" w14:textId="77777777" w:rsidR="000718E5" w:rsidRDefault="00071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76EDA" w14:textId="77777777" w:rsidR="000718E5" w:rsidRDefault="00071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549C8"/>
    <w:multiLevelType w:val="hybridMultilevel"/>
    <w:tmpl w:val="74A09CF4"/>
    <w:lvl w:ilvl="0" w:tplc="AD04F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9"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3B76B8"/>
    <w:multiLevelType w:val="hybridMultilevel"/>
    <w:tmpl w:val="AB8EE7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8DF5683"/>
    <w:multiLevelType w:val="hybridMultilevel"/>
    <w:tmpl w:val="F6FEFD92"/>
    <w:lvl w:ilvl="0" w:tplc="E592A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E70D9"/>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3" w15:restartNumberingAfterBreak="0">
    <w:nsid w:val="6638464A"/>
    <w:multiLevelType w:val="hybridMultilevel"/>
    <w:tmpl w:val="73A8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7" w15:restartNumberingAfterBreak="0">
    <w:nsid w:val="719A7F54"/>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163C6"/>
    <w:multiLevelType w:val="hybridMultilevel"/>
    <w:tmpl w:val="F6FEFD92"/>
    <w:lvl w:ilvl="0" w:tplc="E592A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F7132"/>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6"/>
  </w:num>
  <w:num w:numId="3">
    <w:abstractNumId w:val="25"/>
  </w:num>
  <w:num w:numId="4">
    <w:abstractNumId w:val="9"/>
  </w:num>
  <w:num w:numId="5">
    <w:abstractNumId w:val="6"/>
  </w:num>
  <w:num w:numId="6">
    <w:abstractNumId w:val="3"/>
  </w:num>
  <w:num w:numId="7">
    <w:abstractNumId w:val="17"/>
  </w:num>
  <w:num w:numId="8">
    <w:abstractNumId w:val="2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5"/>
  </w:num>
  <w:num w:numId="13">
    <w:abstractNumId w:val="4"/>
  </w:num>
  <w:num w:numId="14">
    <w:abstractNumId w:val="24"/>
  </w:num>
  <w:num w:numId="15">
    <w:abstractNumId w:val="10"/>
  </w:num>
  <w:num w:numId="16">
    <w:abstractNumId w:val="2"/>
  </w:num>
  <w:num w:numId="17">
    <w:abstractNumId w:val="18"/>
  </w:num>
  <w:num w:numId="18">
    <w:abstractNumId w:val="1"/>
  </w:num>
  <w:num w:numId="19">
    <w:abstractNumId w:val="22"/>
  </w:num>
  <w:num w:numId="20">
    <w:abstractNumId w:val="7"/>
  </w:num>
  <w:num w:numId="21">
    <w:abstractNumId w:val="8"/>
  </w:num>
  <w:num w:numId="22">
    <w:abstractNumId w:val="14"/>
  </w:num>
  <w:num w:numId="23">
    <w:abstractNumId w:val="16"/>
  </w:num>
  <w:num w:numId="24">
    <w:abstractNumId w:val="23"/>
  </w:num>
  <w:num w:numId="25">
    <w:abstractNumId w:val="27"/>
  </w:num>
  <w:num w:numId="26">
    <w:abstractNumId w:val="19"/>
  </w:num>
  <w:num w:numId="27">
    <w:abstractNumId w:val="12"/>
  </w:num>
  <w:num w:numId="28">
    <w:abstractNumId w:val="29"/>
  </w:num>
  <w:num w:numId="29">
    <w:abstractNumId w:val="21"/>
  </w:num>
  <w:num w:numId="30">
    <w:abstractNumId w:val="13"/>
  </w:num>
  <w:num w:numId="31">
    <w:abstractNumId w:val="28"/>
  </w:num>
  <w:num w:numId="32">
    <w:abstractNumId w:val="20"/>
  </w:num>
  <w:num w:numId="3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DEE"/>
    <w:rsid w:val="00086274"/>
    <w:rsid w:val="000862D0"/>
    <w:rsid w:val="000869FA"/>
    <w:rsid w:val="00087FDA"/>
    <w:rsid w:val="00090C4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6AB"/>
    <w:rsid w:val="000D3AF4"/>
    <w:rsid w:val="000D3BE9"/>
    <w:rsid w:val="000D54B6"/>
    <w:rsid w:val="000D6317"/>
    <w:rsid w:val="000D6428"/>
    <w:rsid w:val="000D7DF6"/>
    <w:rsid w:val="000E3703"/>
    <w:rsid w:val="000E3D54"/>
    <w:rsid w:val="000E42C1"/>
    <w:rsid w:val="000E781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68F3"/>
    <w:rsid w:val="00186DF9"/>
    <w:rsid w:val="00190191"/>
    <w:rsid w:val="00190285"/>
    <w:rsid w:val="00192E61"/>
    <w:rsid w:val="00193035"/>
    <w:rsid w:val="001940E9"/>
    <w:rsid w:val="00195F88"/>
    <w:rsid w:val="00196902"/>
    <w:rsid w:val="0019751B"/>
    <w:rsid w:val="00197550"/>
    <w:rsid w:val="001975BE"/>
    <w:rsid w:val="00197633"/>
    <w:rsid w:val="001A04CE"/>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4429"/>
    <w:rsid w:val="001D5E25"/>
    <w:rsid w:val="001D6831"/>
    <w:rsid w:val="001D701F"/>
    <w:rsid w:val="001D762D"/>
    <w:rsid w:val="001E01B3"/>
    <w:rsid w:val="001E0A09"/>
    <w:rsid w:val="001E1A47"/>
    <w:rsid w:val="001E59E9"/>
    <w:rsid w:val="001E605F"/>
    <w:rsid w:val="001E65A8"/>
    <w:rsid w:val="001E6778"/>
    <w:rsid w:val="001F0640"/>
    <w:rsid w:val="001F19D3"/>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466"/>
    <w:rsid w:val="0026099E"/>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D03AF"/>
    <w:rsid w:val="002D0BC0"/>
    <w:rsid w:val="002D0C78"/>
    <w:rsid w:val="002D1D0F"/>
    <w:rsid w:val="002D1F98"/>
    <w:rsid w:val="002D2024"/>
    <w:rsid w:val="002D26C1"/>
    <w:rsid w:val="002D2E94"/>
    <w:rsid w:val="002D37FC"/>
    <w:rsid w:val="002D78B3"/>
    <w:rsid w:val="002E093A"/>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08C"/>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2628"/>
    <w:rsid w:val="00382B0D"/>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89E"/>
    <w:rsid w:val="00480BB2"/>
    <w:rsid w:val="0048110C"/>
    <w:rsid w:val="004824AC"/>
    <w:rsid w:val="004837BC"/>
    <w:rsid w:val="00483D8F"/>
    <w:rsid w:val="004841FD"/>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693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20FAB"/>
    <w:rsid w:val="0052116F"/>
    <w:rsid w:val="00522E5C"/>
    <w:rsid w:val="00523021"/>
    <w:rsid w:val="00524C9B"/>
    <w:rsid w:val="00524D77"/>
    <w:rsid w:val="00525494"/>
    <w:rsid w:val="0052673B"/>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47D8B"/>
    <w:rsid w:val="005519B7"/>
    <w:rsid w:val="0055209F"/>
    <w:rsid w:val="00552344"/>
    <w:rsid w:val="00552AD6"/>
    <w:rsid w:val="00553A16"/>
    <w:rsid w:val="00556D68"/>
    <w:rsid w:val="0055718E"/>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012F"/>
    <w:rsid w:val="005B0646"/>
    <w:rsid w:val="005B1E07"/>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37C99"/>
    <w:rsid w:val="006400FB"/>
    <w:rsid w:val="00640906"/>
    <w:rsid w:val="00640A32"/>
    <w:rsid w:val="006415CA"/>
    <w:rsid w:val="00641907"/>
    <w:rsid w:val="00643BF1"/>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D7B"/>
    <w:rsid w:val="00663DCF"/>
    <w:rsid w:val="0066440A"/>
    <w:rsid w:val="00664CF7"/>
    <w:rsid w:val="00665A08"/>
    <w:rsid w:val="00667331"/>
    <w:rsid w:val="00670A02"/>
    <w:rsid w:val="00671243"/>
    <w:rsid w:val="00672349"/>
    <w:rsid w:val="00672781"/>
    <w:rsid w:val="00674853"/>
    <w:rsid w:val="00676241"/>
    <w:rsid w:val="00677BCF"/>
    <w:rsid w:val="0068010C"/>
    <w:rsid w:val="006806B3"/>
    <w:rsid w:val="00681676"/>
    <w:rsid w:val="00681A6A"/>
    <w:rsid w:val="006823B1"/>
    <w:rsid w:val="00684A8A"/>
    <w:rsid w:val="0068501E"/>
    <w:rsid w:val="0068537B"/>
    <w:rsid w:val="00685534"/>
    <w:rsid w:val="00685D70"/>
    <w:rsid w:val="006860BE"/>
    <w:rsid w:val="006867BE"/>
    <w:rsid w:val="006869B4"/>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3E5"/>
    <w:rsid w:val="006D39BD"/>
    <w:rsid w:val="006D426E"/>
    <w:rsid w:val="006D5418"/>
    <w:rsid w:val="006D6106"/>
    <w:rsid w:val="006D6345"/>
    <w:rsid w:val="006E05E6"/>
    <w:rsid w:val="006E2309"/>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78AF"/>
    <w:rsid w:val="00710850"/>
    <w:rsid w:val="0071187A"/>
    <w:rsid w:val="00711DC8"/>
    <w:rsid w:val="00712439"/>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5D4"/>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B174B"/>
    <w:rsid w:val="007B2D01"/>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4E0F"/>
    <w:rsid w:val="007D5CC8"/>
    <w:rsid w:val="007D6C8D"/>
    <w:rsid w:val="007D71C1"/>
    <w:rsid w:val="007D723A"/>
    <w:rsid w:val="007E0A5D"/>
    <w:rsid w:val="007E1429"/>
    <w:rsid w:val="007E14F8"/>
    <w:rsid w:val="007E1C48"/>
    <w:rsid w:val="007E1C96"/>
    <w:rsid w:val="007E28B1"/>
    <w:rsid w:val="007E3C0E"/>
    <w:rsid w:val="007E3C70"/>
    <w:rsid w:val="007E469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801CAA"/>
    <w:rsid w:val="00802A18"/>
    <w:rsid w:val="00802EC4"/>
    <w:rsid w:val="00803733"/>
    <w:rsid w:val="00804A6E"/>
    <w:rsid w:val="00805C46"/>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3D46"/>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7D"/>
    <w:rsid w:val="008A19FC"/>
    <w:rsid w:val="008A1D06"/>
    <w:rsid w:val="008A1FFD"/>
    <w:rsid w:val="008A2DC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20565"/>
    <w:rsid w:val="009208CD"/>
    <w:rsid w:val="00920FE4"/>
    <w:rsid w:val="00921211"/>
    <w:rsid w:val="00921B4A"/>
    <w:rsid w:val="00922C2B"/>
    <w:rsid w:val="00923245"/>
    <w:rsid w:val="009245DB"/>
    <w:rsid w:val="00926946"/>
    <w:rsid w:val="009271A8"/>
    <w:rsid w:val="00931FF0"/>
    <w:rsid w:val="00935518"/>
    <w:rsid w:val="00935881"/>
    <w:rsid w:val="00935BE0"/>
    <w:rsid w:val="00936675"/>
    <w:rsid w:val="009375D8"/>
    <w:rsid w:val="009375F2"/>
    <w:rsid w:val="00937AF2"/>
    <w:rsid w:val="00937C4C"/>
    <w:rsid w:val="00940959"/>
    <w:rsid w:val="00940BAC"/>
    <w:rsid w:val="00941315"/>
    <w:rsid w:val="009427F6"/>
    <w:rsid w:val="00942DA5"/>
    <w:rsid w:val="009434F0"/>
    <w:rsid w:val="009458BD"/>
    <w:rsid w:val="00946E44"/>
    <w:rsid w:val="0094700E"/>
    <w:rsid w:val="00950E07"/>
    <w:rsid w:val="009510F5"/>
    <w:rsid w:val="009517C0"/>
    <w:rsid w:val="00951E4D"/>
    <w:rsid w:val="0095321D"/>
    <w:rsid w:val="00953F5C"/>
    <w:rsid w:val="0095664D"/>
    <w:rsid w:val="00956BA5"/>
    <w:rsid w:val="00957D25"/>
    <w:rsid w:val="00960582"/>
    <w:rsid w:val="00962AC9"/>
    <w:rsid w:val="00963065"/>
    <w:rsid w:val="009634E3"/>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6B57"/>
    <w:rsid w:val="009F7FBE"/>
    <w:rsid w:val="00A005C5"/>
    <w:rsid w:val="00A020E5"/>
    <w:rsid w:val="00A03FB3"/>
    <w:rsid w:val="00A134E4"/>
    <w:rsid w:val="00A13A29"/>
    <w:rsid w:val="00A143A6"/>
    <w:rsid w:val="00A203DA"/>
    <w:rsid w:val="00A210B4"/>
    <w:rsid w:val="00A21F35"/>
    <w:rsid w:val="00A22338"/>
    <w:rsid w:val="00A2283B"/>
    <w:rsid w:val="00A249F4"/>
    <w:rsid w:val="00A24B3F"/>
    <w:rsid w:val="00A25F64"/>
    <w:rsid w:val="00A27337"/>
    <w:rsid w:val="00A276B6"/>
    <w:rsid w:val="00A306C3"/>
    <w:rsid w:val="00A30DFB"/>
    <w:rsid w:val="00A3241D"/>
    <w:rsid w:val="00A3383B"/>
    <w:rsid w:val="00A3446A"/>
    <w:rsid w:val="00A3532F"/>
    <w:rsid w:val="00A365A0"/>
    <w:rsid w:val="00A3732B"/>
    <w:rsid w:val="00A37CC7"/>
    <w:rsid w:val="00A37F95"/>
    <w:rsid w:val="00A40BA1"/>
    <w:rsid w:val="00A42311"/>
    <w:rsid w:val="00A439AF"/>
    <w:rsid w:val="00A453DB"/>
    <w:rsid w:val="00A479CC"/>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7BE5"/>
    <w:rsid w:val="00AA1D74"/>
    <w:rsid w:val="00AA1E31"/>
    <w:rsid w:val="00AA2007"/>
    <w:rsid w:val="00AA4223"/>
    <w:rsid w:val="00AA4DBB"/>
    <w:rsid w:val="00AA6BDF"/>
    <w:rsid w:val="00AB021D"/>
    <w:rsid w:val="00AB2272"/>
    <w:rsid w:val="00AB2411"/>
    <w:rsid w:val="00AB2D57"/>
    <w:rsid w:val="00AB2FF0"/>
    <w:rsid w:val="00AB3413"/>
    <w:rsid w:val="00AB5AEF"/>
    <w:rsid w:val="00AB61F2"/>
    <w:rsid w:val="00AB6E85"/>
    <w:rsid w:val="00AC0B22"/>
    <w:rsid w:val="00AC1BC1"/>
    <w:rsid w:val="00AC376F"/>
    <w:rsid w:val="00AC3BD8"/>
    <w:rsid w:val="00AC4AAF"/>
    <w:rsid w:val="00AC4BA5"/>
    <w:rsid w:val="00AC6B85"/>
    <w:rsid w:val="00AC7D8C"/>
    <w:rsid w:val="00AD083C"/>
    <w:rsid w:val="00AD0A14"/>
    <w:rsid w:val="00AD0CCD"/>
    <w:rsid w:val="00AD12DA"/>
    <w:rsid w:val="00AD26B1"/>
    <w:rsid w:val="00AD44D3"/>
    <w:rsid w:val="00AD5613"/>
    <w:rsid w:val="00AD623E"/>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AF4C45"/>
    <w:rsid w:val="00B00AC9"/>
    <w:rsid w:val="00B00B3D"/>
    <w:rsid w:val="00B019D1"/>
    <w:rsid w:val="00B03D83"/>
    <w:rsid w:val="00B04391"/>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336A"/>
    <w:rsid w:val="00B53BAC"/>
    <w:rsid w:val="00B5537F"/>
    <w:rsid w:val="00B55AED"/>
    <w:rsid w:val="00B55F52"/>
    <w:rsid w:val="00B57ED2"/>
    <w:rsid w:val="00B60229"/>
    <w:rsid w:val="00B6074B"/>
    <w:rsid w:val="00B60DFB"/>
    <w:rsid w:val="00B60E3B"/>
    <w:rsid w:val="00B6200F"/>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5BE1"/>
    <w:rsid w:val="00B768B2"/>
    <w:rsid w:val="00B7756D"/>
    <w:rsid w:val="00B80954"/>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A95"/>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5578"/>
    <w:rsid w:val="00C1594E"/>
    <w:rsid w:val="00C1621B"/>
    <w:rsid w:val="00C16757"/>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2CFB"/>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646F"/>
    <w:rsid w:val="00C66C94"/>
    <w:rsid w:val="00C70923"/>
    <w:rsid w:val="00C70A8F"/>
    <w:rsid w:val="00C710C5"/>
    <w:rsid w:val="00C7185D"/>
    <w:rsid w:val="00C720B8"/>
    <w:rsid w:val="00C73EB4"/>
    <w:rsid w:val="00C7403D"/>
    <w:rsid w:val="00C74D92"/>
    <w:rsid w:val="00C75EB7"/>
    <w:rsid w:val="00C764EE"/>
    <w:rsid w:val="00C76AB9"/>
    <w:rsid w:val="00C76DE1"/>
    <w:rsid w:val="00C80F50"/>
    <w:rsid w:val="00C832A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4E64"/>
    <w:rsid w:val="00CC5F45"/>
    <w:rsid w:val="00CC772D"/>
    <w:rsid w:val="00CD170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37F5"/>
    <w:rsid w:val="00D25168"/>
    <w:rsid w:val="00D2529F"/>
    <w:rsid w:val="00D25729"/>
    <w:rsid w:val="00D264E0"/>
    <w:rsid w:val="00D2693D"/>
    <w:rsid w:val="00D311D8"/>
    <w:rsid w:val="00D314D1"/>
    <w:rsid w:val="00D31E3B"/>
    <w:rsid w:val="00D3239A"/>
    <w:rsid w:val="00D34F5D"/>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398"/>
    <w:rsid w:val="00D50E5D"/>
    <w:rsid w:val="00D52E10"/>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1E7"/>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4F14"/>
    <w:rsid w:val="00DC520D"/>
    <w:rsid w:val="00DC5210"/>
    <w:rsid w:val="00DC56A7"/>
    <w:rsid w:val="00DC5730"/>
    <w:rsid w:val="00DC6F00"/>
    <w:rsid w:val="00DC7087"/>
    <w:rsid w:val="00DC79EE"/>
    <w:rsid w:val="00DC7B11"/>
    <w:rsid w:val="00DC7EF5"/>
    <w:rsid w:val="00DD03C4"/>
    <w:rsid w:val="00DD1119"/>
    <w:rsid w:val="00DD141E"/>
    <w:rsid w:val="00DD1C15"/>
    <w:rsid w:val="00DD696A"/>
    <w:rsid w:val="00DD6FCF"/>
    <w:rsid w:val="00DD73CB"/>
    <w:rsid w:val="00DE06D8"/>
    <w:rsid w:val="00DE1181"/>
    <w:rsid w:val="00DE3F47"/>
    <w:rsid w:val="00DE4EE8"/>
    <w:rsid w:val="00DE55E5"/>
    <w:rsid w:val="00DE57A2"/>
    <w:rsid w:val="00DE5F3B"/>
    <w:rsid w:val="00DE60B2"/>
    <w:rsid w:val="00DF0232"/>
    <w:rsid w:val="00DF1FD3"/>
    <w:rsid w:val="00DF27EC"/>
    <w:rsid w:val="00DF4E3F"/>
    <w:rsid w:val="00DF5296"/>
    <w:rsid w:val="00DF68E7"/>
    <w:rsid w:val="00DF753E"/>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0B8E"/>
    <w:rsid w:val="00E31A46"/>
    <w:rsid w:val="00E324DA"/>
    <w:rsid w:val="00E36659"/>
    <w:rsid w:val="00E3698C"/>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4572"/>
    <w:rsid w:val="00EB6537"/>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D1273"/>
    <w:rsid w:val="00ED19CB"/>
    <w:rsid w:val="00ED1AB1"/>
    <w:rsid w:val="00ED22E7"/>
    <w:rsid w:val="00ED3847"/>
    <w:rsid w:val="00ED3C75"/>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C51"/>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7C2"/>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1E61"/>
    <w:rsid w:val="00FC2060"/>
    <w:rsid w:val="00FC368F"/>
    <w:rsid w:val="00FC3A74"/>
    <w:rsid w:val="00FC3C72"/>
    <w:rsid w:val="00FC3E82"/>
    <w:rsid w:val="00FC5038"/>
    <w:rsid w:val="00FC69A7"/>
    <w:rsid w:val="00FC7E2B"/>
    <w:rsid w:val="00FD08FF"/>
    <w:rsid w:val="00FD1998"/>
    <w:rsid w:val="00FD1DAC"/>
    <w:rsid w:val="00FD2284"/>
    <w:rsid w:val="00FD2B67"/>
    <w:rsid w:val="00FD2EE1"/>
    <w:rsid w:val="00FD30CB"/>
    <w:rsid w:val="00FD3B44"/>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2021-05-10T13:44:00Z</dcterms:modified>
</cp:coreProperties>
</file>